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38"/>
      </w:tblGrid>
      <w:tr w:rsidR="00851942" w:rsidRPr="00732DE4" w:rsidTr="00851942">
        <w:tc>
          <w:tcPr>
            <w:tcW w:w="4938" w:type="dxa"/>
          </w:tcPr>
          <w:p w:rsidR="00851942" w:rsidRPr="00732DE4" w:rsidRDefault="00851942" w:rsidP="00732DE4">
            <w:pPr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51942" w:rsidRPr="00732DE4" w:rsidRDefault="00851942" w:rsidP="00732DE4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  <w:r w:rsidRPr="00732DE4"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72091" cy="905774"/>
                  <wp:effectExtent l="0" t="0" r="0" b="0"/>
                  <wp:docPr id="7" name="Рисунок 5" descr="C:\Users\Admin\Documents\пок и тс сайт\POK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cuments\пок и тс сайт\POK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369" cy="90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</w:tcPr>
          <w:p w:rsidR="00851942" w:rsidRPr="007E2C65" w:rsidRDefault="00851942" w:rsidP="007E2C65">
            <w:pPr>
              <w:widowControl w:val="0"/>
              <w:autoSpaceDE w:val="0"/>
              <w:autoSpaceDN w:val="0"/>
              <w:adjustRightInd w:val="0"/>
              <w:ind w:left="295"/>
              <w:jc w:val="right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7E2C6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7E2C65" w:rsidRDefault="00851942" w:rsidP="007E2C65">
            <w:pPr>
              <w:widowControl w:val="0"/>
              <w:autoSpaceDE w:val="0"/>
              <w:autoSpaceDN w:val="0"/>
              <w:adjustRightInd w:val="0"/>
              <w:ind w:left="295"/>
              <w:jc w:val="right"/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</w:pP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Нарьян-Марского</w:t>
            </w:r>
            <w:proofErr w:type="spellEnd"/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="00C23DDE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унитарного предприятия </w:t>
            </w:r>
            <w:proofErr w:type="gramStart"/>
            <w:r w:rsidR="00C23DDE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объединё</w:t>
            </w: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нных</w:t>
            </w:r>
            <w:proofErr w:type="gramEnd"/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51942" w:rsidRPr="007E2C65" w:rsidRDefault="00851942" w:rsidP="007E2C65">
            <w:pPr>
              <w:widowControl w:val="0"/>
              <w:autoSpaceDE w:val="0"/>
              <w:autoSpaceDN w:val="0"/>
              <w:adjustRightInd w:val="0"/>
              <w:ind w:left="295"/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котельных и тепловых сетей</w:t>
            </w:r>
          </w:p>
          <w:p w:rsidR="00851942" w:rsidRPr="007E2C65" w:rsidRDefault="00851942" w:rsidP="007E2C65">
            <w:pPr>
              <w:widowControl w:val="0"/>
              <w:autoSpaceDE w:val="0"/>
              <w:autoSpaceDN w:val="0"/>
              <w:adjustRightInd w:val="0"/>
              <w:ind w:left="295"/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_______</w:t>
            </w:r>
            <w:r w:rsid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_</w:t>
            </w: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 xml:space="preserve">________Н.Н. </w:t>
            </w:r>
            <w:proofErr w:type="spellStart"/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Бетхер</w:t>
            </w:r>
            <w:proofErr w:type="spellEnd"/>
          </w:p>
          <w:p w:rsidR="00851942" w:rsidRPr="007E2C65" w:rsidRDefault="00851942" w:rsidP="007E2C65">
            <w:pPr>
              <w:widowControl w:val="0"/>
              <w:overflowPunct w:val="0"/>
              <w:autoSpaceDE w:val="0"/>
              <w:autoSpaceDN w:val="0"/>
              <w:adjustRightInd w:val="0"/>
              <w:ind w:left="295"/>
              <w:jc w:val="right"/>
              <w:rPr>
                <w:rFonts w:asciiTheme="majorHAnsi" w:hAnsiTheme="majorHAnsi" w:cs="Times New Roman"/>
                <w:sz w:val="24"/>
                <w:szCs w:val="24"/>
                <w:lang w:val="ru-RU"/>
              </w:rPr>
            </w:pP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«__</w:t>
            </w:r>
            <w:r w:rsid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__</w:t>
            </w:r>
            <w:r w:rsidRPr="007E2C65">
              <w:rPr>
                <w:rFonts w:asciiTheme="majorHAnsi" w:hAnsiTheme="majorHAnsi" w:cs="Times New Roman"/>
                <w:bCs/>
                <w:sz w:val="24"/>
                <w:szCs w:val="24"/>
                <w:lang w:val="ru-RU"/>
              </w:rPr>
              <w:t>»________________2016 г.</w:t>
            </w:r>
          </w:p>
          <w:p w:rsidR="00851942" w:rsidRPr="00732DE4" w:rsidRDefault="00851942" w:rsidP="00732DE4">
            <w:pPr>
              <w:ind w:left="295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942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732DE4" w:rsidRDefault="00732DE4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732DE4" w:rsidRPr="00732DE4" w:rsidRDefault="00732DE4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</w:rPr>
      </w:pP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РЕГЛАМЕНТ</w:t>
      </w: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851942" w:rsidRPr="00732DE4" w:rsidRDefault="00851942" w:rsidP="00732D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выполнения работ по подключению объектов к централизованной системе водоснабжения и (или) водоотведения </w:t>
      </w: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Нарьян-Марского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муниципального унитарного предприятия объединенных котельных и тепловых сетей</w:t>
      </w:r>
    </w:p>
    <w:p w:rsidR="00851942" w:rsidRPr="00732DE4" w:rsidRDefault="00851942" w:rsidP="00732DE4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</w:p>
    <w:p w:rsidR="00851942" w:rsidRPr="00732DE4" w:rsidRDefault="00851942" w:rsidP="00732DE4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6343C8" w:rsidP="00732DE4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Нарьян-Марское МУ ПОК и ТС</w:t>
      </w:r>
    </w:p>
    <w:p w:rsidR="000456DE" w:rsidRPr="00732DE4" w:rsidRDefault="00311C78" w:rsidP="00732DE4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201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6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г.</w:t>
      </w:r>
    </w:p>
    <w:p w:rsidR="000456DE" w:rsidRPr="00732DE4" w:rsidRDefault="000456DE" w:rsidP="00732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ru-RU"/>
        </w:rPr>
        <w:sectPr w:rsidR="000456DE" w:rsidRPr="00732DE4">
          <w:pgSz w:w="11900" w:h="16838"/>
          <w:pgMar w:top="558" w:right="840" w:bottom="1440" w:left="1400" w:header="720" w:footer="720" w:gutter="0"/>
          <w:cols w:space="720" w:equalWidth="0">
            <w:col w:w="9660"/>
          </w:cols>
          <w:noEndnote/>
        </w:sectPr>
      </w:pPr>
    </w:p>
    <w:p w:rsidR="000456DE" w:rsidRPr="00732DE4" w:rsidRDefault="006343C8" w:rsidP="00732DE4">
      <w:pPr>
        <w:widowControl w:val="0"/>
        <w:numPr>
          <w:ilvl w:val="2"/>
          <w:numId w:val="1"/>
        </w:numPr>
        <w:tabs>
          <w:tab w:val="clear" w:pos="2160"/>
          <w:tab w:val="left" w:pos="851"/>
          <w:tab w:val="num" w:pos="44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page3"/>
      <w:bookmarkEnd w:id="0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lastRenderedPageBreak/>
        <w:t>ОБЩИЕ</w:t>
      </w:r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ПОЛОЖЕНИЯ</w:t>
      </w:r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</w:p>
    <w:p w:rsidR="000456DE" w:rsidRPr="00732DE4" w:rsidRDefault="00311C78" w:rsidP="00732DE4">
      <w:pPr>
        <w:widowControl w:val="0"/>
        <w:numPr>
          <w:ilvl w:val="1"/>
          <w:numId w:val="2"/>
        </w:numPr>
        <w:tabs>
          <w:tab w:val="clear" w:pos="1440"/>
          <w:tab w:val="left" w:pos="851"/>
          <w:tab w:val="num" w:pos="124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Настоящий регламе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нт разработан в соответствии </w:t>
      </w:r>
      <w:proofErr w:type="gramStart"/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с</w:t>
      </w:r>
      <w:proofErr w:type="gramEnd"/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:</w:t>
      </w:r>
    </w:p>
    <w:p w:rsidR="000456DE" w:rsidRPr="00732DE4" w:rsidRDefault="00311C78" w:rsidP="00732DE4">
      <w:pPr>
        <w:widowControl w:val="0"/>
        <w:numPr>
          <w:ilvl w:val="0"/>
          <w:numId w:val="2"/>
        </w:numPr>
        <w:tabs>
          <w:tab w:val="clear" w:pos="720"/>
          <w:tab w:val="num" w:pos="506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Федеральным законом от 07.12.2011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№ 416-ФЗ (ред. от 23.07.2013) «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О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водоснабжении и водоотведении»;</w:t>
      </w:r>
    </w:p>
    <w:p w:rsidR="000456DE" w:rsidRPr="00732DE4" w:rsidRDefault="00311C78" w:rsidP="00732DE4">
      <w:pPr>
        <w:widowControl w:val="0"/>
        <w:numPr>
          <w:ilvl w:val="0"/>
          <w:numId w:val="2"/>
        </w:numPr>
        <w:tabs>
          <w:tab w:val="clear" w:pos="720"/>
          <w:tab w:val="num" w:pos="506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Постановлением Правительства РФ от 13.02.2006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№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83 (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ред. от 23.08.2014) «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го обеспечения»;</w:t>
      </w:r>
    </w:p>
    <w:p w:rsidR="000456DE" w:rsidRPr="00732DE4" w:rsidRDefault="00311C78" w:rsidP="00732DE4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Градостроительны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м кодексом Российской Федерации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от 29.12.2004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№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190-ФЗ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0456DE" w:rsidRPr="00732DE4" w:rsidRDefault="00311C78" w:rsidP="00732DE4">
      <w:pPr>
        <w:widowControl w:val="0"/>
        <w:numPr>
          <w:ilvl w:val="0"/>
          <w:numId w:val="2"/>
        </w:numPr>
        <w:tabs>
          <w:tab w:val="clear" w:pos="720"/>
          <w:tab w:val="num" w:pos="326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Постановлением Правительства РФ от 29.07.2013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№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644 "Об утверждении Правил холодного водоснабжения и водоотведения и о внесении изменений в некоторые акты Прави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тельства Российской Федерации";</w:t>
      </w:r>
    </w:p>
    <w:p w:rsidR="000456DE" w:rsidRPr="00732DE4" w:rsidRDefault="00311C78" w:rsidP="00732DE4">
      <w:pPr>
        <w:widowControl w:val="0"/>
        <w:numPr>
          <w:ilvl w:val="0"/>
          <w:numId w:val="2"/>
        </w:numPr>
        <w:tabs>
          <w:tab w:val="clear" w:pos="720"/>
          <w:tab w:val="num" w:pos="30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Постановлением Правительства РФ от 29.07.2013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№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645 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«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Об утверждении типовых договоров в области холодног</w:t>
      </w:r>
      <w:r w:rsidR="006343C8" w:rsidRPr="00732DE4">
        <w:rPr>
          <w:rFonts w:asciiTheme="majorHAnsi" w:hAnsiTheme="majorHAnsi" w:cs="Times New Roman"/>
          <w:sz w:val="24"/>
          <w:szCs w:val="24"/>
          <w:lang w:val="ru-RU"/>
        </w:rPr>
        <w:t>о водоснабжения и водоотведения»;</w:t>
      </w:r>
    </w:p>
    <w:p w:rsidR="000456DE" w:rsidRDefault="00311C78" w:rsidP="00E36C4F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301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Настоящий регламент определяет требования, порядок действий и ответственность персонала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Нарьян-Марского муниципального унитарного предприятия объединенных котельных и тепловых сетей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(далее – </w:t>
      </w:r>
      <w:r w:rsidR="00163F7B" w:rsidRPr="00732DE4">
        <w:rPr>
          <w:rFonts w:asciiTheme="majorHAnsi" w:hAnsiTheme="majorHAnsi" w:cs="Times New Roman"/>
          <w:b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) при подключении строящихся, реконструируемых или построенных, но не подключенных объектов капитального строительства (далее 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Объект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) юридических и физических лиц (далее -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Заявитель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) к сетям водоснабжения и водоотведения, эксплуатируемых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</w:t>
      </w:r>
      <w:r w:rsidR="00E36C4F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0456DE" w:rsidRPr="00732DE4" w:rsidRDefault="00311C78" w:rsidP="00E36C4F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258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Действие настоящего Регламента распространяется на все случаи подключения к сетям водоснабжения и водоотведения, эксплуатируемых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м, строящихся, реконструируемых или построенных, но не подключенных зданий, строений, сооружений или иных объектов капитального строительства юридических и физических лиц, включая порядок предоставления технических условий, критерии определения возможности подключения, подачи и рассмотрения заявления о подключении, заключения договоров о подключении, выдачи и исполнения технических условия для присоединения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условия подачи ресурсов, а также на оказание услуг по оснащению приборами учета. </w:t>
      </w:r>
    </w:p>
    <w:p w:rsidR="00373FE2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Настоящий регламент не распространяется на случаи присоединения внутриплощадочных и (или) внутридомовых сетей и оборудования объектов капитального строительства (реконструкции)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когда такое присоединение не влечет увеличение нагрузки ресурса, потребляемого объектом капитального строительства (реконструкции) и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не требует заключения договора о</w:t>
      </w:r>
      <w:r w:rsidR="00373FE2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подключении (внесения платы за подключение):</w:t>
      </w:r>
    </w:p>
    <w:p w:rsidR="000456DE" w:rsidRPr="00732DE4" w:rsidRDefault="00311C78" w:rsidP="00732DE4">
      <w:pPr>
        <w:widowControl w:val="0"/>
        <w:numPr>
          <w:ilvl w:val="0"/>
          <w:numId w:val="4"/>
        </w:numPr>
        <w:tabs>
          <w:tab w:val="clear" w:pos="720"/>
          <w:tab w:val="num" w:pos="24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капитальном ремонте существующих сетей объектов капитального строительства; </w:t>
      </w:r>
    </w:p>
    <w:p w:rsidR="000456DE" w:rsidRPr="00732DE4" w:rsidRDefault="00311C78" w:rsidP="00732DE4">
      <w:pPr>
        <w:widowControl w:val="0"/>
        <w:numPr>
          <w:ilvl w:val="0"/>
          <w:numId w:val="4"/>
        </w:numPr>
        <w:tabs>
          <w:tab w:val="clear" w:pos="720"/>
          <w:tab w:val="num" w:pos="24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изменении точки присоединения в процессе перекладки существующих сетей; </w:t>
      </w:r>
    </w:p>
    <w:p w:rsidR="000456DE" w:rsidRPr="00732DE4" w:rsidRDefault="00311C78" w:rsidP="00732DE4">
      <w:pPr>
        <w:widowControl w:val="0"/>
        <w:numPr>
          <w:ilvl w:val="0"/>
          <w:numId w:val="4"/>
        </w:numPr>
        <w:tabs>
          <w:tab w:val="clear" w:pos="720"/>
          <w:tab w:val="num" w:pos="24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согласовании проектов перевода жилых помещений в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н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>ежилые</w:t>
      </w:r>
      <w:proofErr w:type="gramEnd"/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при неизменной нагрузке.</w:t>
      </w:r>
    </w:p>
    <w:p w:rsidR="000456DE" w:rsidRPr="00732DE4" w:rsidRDefault="00311C78" w:rsidP="00732DE4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25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" w:name="page5"/>
      <w:bookmarkEnd w:id="1"/>
      <w:r w:rsidRPr="00732DE4">
        <w:rPr>
          <w:rFonts w:asciiTheme="majorHAnsi" w:hAnsiTheme="majorHAnsi" w:cs="Times New Roman"/>
          <w:sz w:val="24"/>
          <w:szCs w:val="24"/>
          <w:lang w:val="ru-RU"/>
        </w:rPr>
        <w:t>В настоящем регламенте используются следующие понятия: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технические условия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(ТУ)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– документ, выдаваемый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инженерно-техническим отделом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(далее –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) и определяющий техническую возможность подключения строящихся, реконструируемых или построенных, но не подключенных объектов капитального строительства к сетям водоснабжения и (или) водоотведения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0456DE" w:rsidRPr="00732DE4" w:rsidRDefault="00311C78" w:rsidP="00732DE4">
      <w:pPr>
        <w:widowControl w:val="0"/>
        <w:tabs>
          <w:tab w:val="left" w:pos="851"/>
          <w:tab w:val="left" w:pos="1340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ab/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условия</w:t>
      </w:r>
      <w:r w:rsidR="00AE19A5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подключения внутриплощадочных и (или) внутридомовых сетей</w:t>
      </w:r>
      <w:r w:rsidR="00AE19A5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и</w:t>
      </w:r>
      <w:r w:rsidR="003A544C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lastRenderedPageBreak/>
        <w:t xml:space="preserve">оборудования объекта капитального строительства (технические условия для присоединения) (УП) –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документ,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выдаваемый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качестве приложения №1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к договору о подключении лицу,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осуществляющему на принадлежащем ему на праве собственности или ином законном основании земельном участке строительство (реконструкцию) объекта капитального строительства и определяющий специальные технические требования к устройствам и сооружениям для присоединения в зависимости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от величины заявленной нагрузки;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подключение объекта капитального строительства к сетям инженерно-технического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обеспечения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процесс,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дающий возможность осуществления подключения строящихся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(реконструированных) объектов капитального строительства к сетям инже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>нерно-технического обеспечения;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точка подключения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– место соединения сетей инженерно-технического обеспечения с устройствами и сооружениями, необходимыми для присоединения строящегося (реконструированного) объекта капитального строительства к системам водоснабжения и водоотведения;</w:t>
      </w:r>
    </w:p>
    <w:p w:rsidR="000456DE" w:rsidRPr="00732DE4" w:rsidRDefault="00AE19A5" w:rsidP="00732DE4">
      <w:pPr>
        <w:widowControl w:val="0"/>
        <w:tabs>
          <w:tab w:val="left" w:pos="851"/>
          <w:tab w:val="num" w:pos="1320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-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объект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капитального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строительства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здание,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строение,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сооружение,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объекты,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объект индивидуального жилищного строительства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отдельно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стоящий жилой дом с количеством этажей не более чем три, предназначенный для проживания одной семьи;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-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заявитель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– юридическое или физическое лицо, направившее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заявление на подключение объектов капитального строительства, принадлежащих данному лицу на праве собственности или на ином, предусмотренном федеральными законами основании, к водопроводным и канализационным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основной абонент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– юридическое или физическое лицо, являющееся потребителем услуг водоснабжения и (или) водоотведения, с которым у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заключен договор на отпуск (получение) питьевой воды и (или) прием (сброс) сточных вод и которому принадлежат на праве собственности или другом законном основании сети водоснабжения и (или) водоотведения, непосредственно присоединенные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25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Подписание ТУ осуществляет 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>начальник инженерно технического отдела (ИТО)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; подписание договоров о подключении, условий подключения и всех приложений к договору осуществляет директор, после согласования, заместителем директора по финансам, </w:t>
      </w:r>
      <w:r w:rsidR="00BA2C8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заместителем директора по производственным вопросам,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начальником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 начальником юридического отдела.</w:t>
      </w:r>
    </w:p>
    <w:p w:rsidR="000456DE" w:rsidRPr="00732DE4" w:rsidRDefault="00311C78" w:rsidP="00732DE4">
      <w:pPr>
        <w:widowControl w:val="0"/>
        <w:numPr>
          <w:ilvl w:val="1"/>
          <w:numId w:val="3"/>
        </w:numPr>
        <w:tabs>
          <w:tab w:val="clear" w:pos="1440"/>
          <w:tab w:val="left" w:pos="851"/>
          <w:tab w:val="num" w:pos="125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  <w:sectPr w:rsidR="000456DE" w:rsidRPr="00732DE4">
          <w:pgSz w:w="11906" w:h="16838"/>
          <w:pgMar w:top="687" w:right="840" w:bottom="1145" w:left="1160" w:header="720" w:footer="720" w:gutter="0"/>
          <w:cols w:space="720" w:equalWidth="0">
            <w:col w:w="9900"/>
          </w:cols>
          <w:noEndnote/>
        </w:sectPr>
      </w:pPr>
    </w:p>
    <w:p w:rsidR="000456DE" w:rsidRPr="00732DE4" w:rsidRDefault="00311C78" w:rsidP="00732DE4">
      <w:pPr>
        <w:widowControl w:val="0"/>
        <w:numPr>
          <w:ilvl w:val="1"/>
          <w:numId w:val="6"/>
        </w:numPr>
        <w:tabs>
          <w:tab w:val="clear" w:pos="1440"/>
          <w:tab w:val="left" w:pos="851"/>
          <w:tab w:val="num" w:pos="294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bookmarkStart w:id="2" w:name="page7"/>
      <w:bookmarkEnd w:id="2"/>
      <w:r w:rsidRPr="00732DE4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ПОРЯДОК ВЫДАЧИ ТЕХНИЧЕСКИХ УСЛОВИЙ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Подготовка и выдача ТУ для подключения планируемых к созданию (реконструкции) объектов капитального строительства. Срок действия ТУ.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2.1.1. Целью получения ТУ является </w:t>
      </w:r>
      <w:r w:rsidRPr="00732DE4">
        <w:rPr>
          <w:rFonts w:asciiTheme="majorHAnsi" w:hAnsiTheme="majorHAnsi" w:cs="Times New Roman"/>
          <w:b/>
          <w:sz w:val="24"/>
          <w:szCs w:val="24"/>
          <w:lang w:val="ru-RU"/>
        </w:rPr>
        <w:t>определение заявителем максимальной нагрузки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точке подключения.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если заявитель определил необходимую ему нагрузку, он обращается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 заявлением о заключении договора о подключении, при этом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предварительное получение ТУ не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требуется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2.1.2. ТУ для подключения планируемых к созданию (реконструкции) объектов капитального строительства (далее – объект) предоставляются по запросам: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органов местного самоуправления (Администрация МО </w:t>
      </w:r>
      <w:r w:rsidR="00251282" w:rsidRPr="00732DE4">
        <w:rPr>
          <w:rFonts w:asciiTheme="majorHAnsi" w:hAnsiTheme="majorHAnsi" w:cs="Times New Roman"/>
          <w:sz w:val="24"/>
          <w:szCs w:val="24"/>
          <w:lang w:val="ru-RU"/>
        </w:rPr>
        <w:t>«Городской округ «Город Нарьян-Мар»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 Администрация при подготовке градостроительного плана земельного участка, предназначенного для строительства;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правообладателей земельных участков, на которых планируется создание (реконструкция) объектов, либо физических и (или) юридических лиц, действующих на основании доверенности на сбор технических условий для подключения объекта капитального строительства (реконструкции) к системам инженерно-технического обеспечения, выдаваемого </w:t>
      </w:r>
      <w:r w:rsidR="00251282" w:rsidRPr="00732DE4">
        <w:rPr>
          <w:rFonts w:asciiTheme="majorHAnsi" w:hAnsiTheme="majorHAnsi" w:cs="Times New Roman"/>
          <w:sz w:val="24"/>
          <w:szCs w:val="24"/>
          <w:lang w:val="ru-RU"/>
        </w:rPr>
        <w:t>в установленном законом порядке.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2.1.3. Запрос составляется на имя директора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регистрируется в приемной, передается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(Приложение 1) и должен содержать: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наименование лица, направившего запрос, его ме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стонахождение и почтовый адрес;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107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нотариально заверенные копии учредительных документов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(устав,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свидетельство 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государственной регистрации юридического лица, свидетельство о государственной регистрации индивидуального предпринимателя),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а также документы,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подтверждающие полномочия лица,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подписавшего запрос; 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89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правоустанавливающие документы на земельный участок (для правообладателя земельного участка)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(для собственника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свидетельство о государственной регистрации права собственности,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для арендатора – договор аренды);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107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ект капитального строительства;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информацию о разрешенном ис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пользовании земельного участка;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107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8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необходимые виды ресурсов, получаемых от сетей инженерно-технического обеспечения, а также виды подключаемых сетей инже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нерно-технического обеспечения;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77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планируемый срок ввода в эксплуатацию объекта капитального строительства (при налич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ии соответствующей информации);</w:t>
      </w:r>
    </w:p>
    <w:p w:rsidR="000456DE" w:rsidRPr="00732DE4" w:rsidRDefault="00311C78" w:rsidP="00732DE4">
      <w:pPr>
        <w:widowControl w:val="0"/>
        <w:numPr>
          <w:ilvl w:val="0"/>
          <w:numId w:val="8"/>
        </w:numPr>
        <w:tabs>
          <w:tab w:val="clear" w:pos="720"/>
          <w:tab w:val="left" w:pos="851"/>
          <w:tab w:val="num" w:pos="95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планируемую величину необходимой подключаемой нагрузки (при налич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ии соответствующей информации).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2.1.4. Запрос правообладателя земельного участка, который намерен осуществить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реконструкцию объекта, помимо сведений, предусмотренных п. 2.1.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3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настоящего Регламента, должен содержать информацию о разрешенной к использованию нагрузке ресурса, потребляемого объектом до</w:t>
      </w:r>
      <w:bookmarkStart w:id="3" w:name="page9"/>
      <w:bookmarkEnd w:id="3"/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реконструкции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(расход воды и стоков до реконструкции,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№ договора на отпуск питьевой воды 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прием стоков, сведения о </w:t>
      </w:r>
      <w:proofErr w:type="spellStart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субабонентах</w:t>
      </w:r>
      <w:proofErr w:type="spellEnd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2.1.5. При наличии всех документов и информации в соответствии с п. 2.1.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3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., 2.1.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4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настоящего Регламента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течение 5 рабочих дней с момента поступления документов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определяет техническую возможность подключения планируемого к созданию (реконструкции) объекта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 основе: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анализа резерва мощностей по производству ресурса (воды) и пропускной способности водопроводных и (или) канализационных сетей;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оценки альтернативных вариантов подключения объекта к существующим сетям;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наличия в инвестиционной программе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мероприятий, обеспечивающих техническую возможность. 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2.1.6. Техническая возможность подключения существует при наличии: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резерва пропускной способности сетей, обеспечивающих передачу необходимого объема воды (стоков);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резерва мощности по производству ресурса (дополнительного объема воды) и по очистке увеличенного объема сточных вод.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2.1.7. В случае, когда техническая возможность подключения планируемого к созданию (реконструкции) объекта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отсутствует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в инвестиционной программе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отсутствуют мероприятия, обеспечивающие техническую возможность,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обеспечивает подготовку мотивированного отказа в выдаче ТУ.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Отказ согласовывается с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начальником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подписывается директором.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Мотивированный отказ должен быть направлен заказчику ТУ в срок не позднее 14 рабочих дней от даты подачи запроса.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2.1.8. В случае, когда техническая возможность подключения объекта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существует,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срок не позднее 14 рабочих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поступления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запроса осуществляет подготовку ТУ, согласование с 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>заместителем директора по производственным вопросам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подписание </w:t>
      </w:r>
      <w:r w:rsidR="002A33E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начальником ИТО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и передачу подписанных ТУ заказчику (Приложение 2).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2.1.9. ТУ должны содержать следующие данные: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максимальную нагрузку в возможных точках подключения;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срок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действия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технических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условий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(не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менее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3-х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лет,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а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при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комплексном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 (Градостроительный кодекс Российской Федерации от 29.12.2004 </w:t>
      </w:r>
      <w:r w:rsidR="001E6090" w:rsidRPr="00732DE4">
        <w:rPr>
          <w:rFonts w:asciiTheme="majorHAnsi" w:hAnsiTheme="majorHAnsi" w:cs="Times New Roman"/>
          <w:sz w:val="24"/>
          <w:szCs w:val="24"/>
          <w:lang w:val="ru-RU"/>
        </w:rPr>
        <w:t>№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190-ФЗ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(ред. от 21.10.2013)).</w:t>
      </w:r>
      <w:proofErr w:type="gramEnd"/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 истечении этого срока параметры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выданных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ТУ могут быть изменены.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– срок подключения объекта капитального строительства к сетям инженерно- технического обеспечения, определяемый, в том числе с учетом сроков реализации инвестиционной программы.</w:t>
      </w:r>
      <w:bookmarkStart w:id="4" w:name="page11"/>
      <w:bookmarkEnd w:id="4"/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2.1.10.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0456DE" w:rsidRPr="00732DE4" w:rsidRDefault="00311C7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98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данные о тарифе на подключение, утвержденном на момент выдачи технических условий в установленном законодательство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>м Российской Федерации порядке;</w:t>
      </w:r>
    </w:p>
    <w:p w:rsidR="000456DE" w:rsidRPr="00732DE4" w:rsidRDefault="00311C7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102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дату окончания срока действия указанного тарифа (если период действия этого тарифа истекает ранее окончания срока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действия технических условий);</w:t>
      </w:r>
    </w:p>
    <w:p w:rsidR="000456DE" w:rsidRPr="00732DE4" w:rsidRDefault="00311C7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96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>иод их действия не установлен).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2.1.11. При наличии в пределах границ земельного участка сетей водоснабжения и (или) водоотведения в ТУ делается отметка о необходимости получения до начала строительства (реконструкции) дополнительных технических условий переноса с площадки строительства или иного переустройства существующих сетей в случае, если строительство (реконструкция) объекта повлечет необходимость такого переноса и (или) переустройства.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2.1.12.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ведет электронную базу данных по учету выданных ТУ для присоединения, ТУ переноса с площадки строительства (иного переустройства) существующих сетей (Приложение 6).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2.1.13. Обязательства </w:t>
      </w:r>
      <w:proofErr w:type="gramStart"/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 обеспечению подключения планируемого к созданию (реконструкции) объекта к сетям водоснабжения и (или) водоотведения в соответствии с выданными ТУ прекращаются в случае, если в течение 1 года с даты получения ТУ правообладатель земельного участка не определит необходимую ему подключаемую нагрузку и не обратится с заявлением о подключении объекта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2.1.14. Если правообладатель земельного участка обратился с заявлением о подключении по истечении 1 года с даты получения ТУ (но в пределах срока действия ТУ)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не вправе отказать в заключени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договора о подключении, однако условия ранее выданных ТУ могут быть изменены.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2.1.15. В случае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если подключение планируемого к созданию (реконструкции) объекта возможно только к существующим сетям водоснабжения и (или) водоотведения, принадлежащим на праве собственности или на ином законном основании лицу, которое является абонентом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(основной абонент), технические условия такого подключения могут быть выданы основным абонентом, но должны быть согласованы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или могут быть разработаны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 после предоставления разрешительного документа от основного абонента.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2.1.16. При смене правообладателя земельного участка, которому были выданы ТУ,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новый правообладатель вправе воспользоваться этими ТУ в пределах их срока действия и разрешенной максимальной нагрузки, предварительно уведомив об этом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2.1.17. Контроль над сроками прохождения ТУ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(подготовка,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согласование,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подписание со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стороны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),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возлагается на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2.2. Подготовка и выдача ТУ переноса с площадки строительства (иного переустройства) существующих сетей коммунального водоснабжения и (или) водоотведения.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2.2.1. В случае необходимости переноса с площадки строительства (иного переустройства) существующих сетей коммунального водоснабжения и (или) водоотведения правообладатель земельного участка обращается с запросом о выдаче данных ТУ (Приложение 3) на имя 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директора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  <w:bookmarkStart w:id="5" w:name="page13"/>
      <w:bookmarkEnd w:id="5"/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2.2.2. К запросу прилагаются следующие документы:</w:t>
      </w:r>
    </w:p>
    <w:p w:rsidR="000456DE" w:rsidRPr="00732DE4" w:rsidRDefault="00311C7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98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копия документа, подтверждающего полномочие лица, подписавшего запрос; </w:t>
      </w:r>
    </w:p>
    <w:p w:rsidR="000456DE" w:rsidRPr="00732DE4" w:rsidRDefault="00311C7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98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копия правоустанавливающего документа на земельный участок; </w:t>
      </w:r>
    </w:p>
    <w:p w:rsidR="000456DE" w:rsidRPr="00732DE4" w:rsidRDefault="009A13F8" w:rsidP="00732DE4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num" w:pos="98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ab/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топо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графическая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съемка в М 1:500 или 1:1000 с указанием границ земельного участка заказчика и проходящих коммуникаций.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2.2.3.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течение 14 рабочих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поступления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запроса осуществляет подготовку, согласование с начальником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передачу подписанных ТУ переноса с площадки строительства (иного переустройства) существующих сетей заказчику (Приложение 4).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numPr>
          <w:ilvl w:val="1"/>
          <w:numId w:val="14"/>
        </w:numPr>
        <w:tabs>
          <w:tab w:val="clear" w:pos="1440"/>
          <w:tab w:val="left" w:pos="851"/>
          <w:tab w:val="num" w:pos="200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ПОРЯДОК ЗАКЛЮЧЕНИЯ ДОГОВОРА О ПОДКЛЮЧЕНИИ </w:t>
      </w:r>
    </w:p>
    <w:p w:rsidR="000456DE" w:rsidRPr="00732DE4" w:rsidRDefault="00311C78" w:rsidP="00732DE4">
      <w:pPr>
        <w:widowControl w:val="0"/>
        <w:numPr>
          <w:ilvl w:val="0"/>
          <w:numId w:val="15"/>
        </w:numPr>
        <w:tabs>
          <w:tab w:val="clear" w:pos="720"/>
          <w:tab w:val="num" w:pos="643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Порядок подготовки условий подключения, заключения договора о подключении и выдачи условий подключения на основании ТУ, предусматривающих плату за подключение (по тарифу) </w:t>
      </w:r>
    </w:p>
    <w:p w:rsidR="009A13F8" w:rsidRPr="00732DE4" w:rsidRDefault="009A13F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Физическое или юридическое лицо, осуществляющее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потребляемой нагрузки, либо с изменением иных определяющих для данного вида ресурса параметров (далее – заказчик), для его подключения к сетям инженерно-технического обеспечения, обращается с заявлением на имя директора о подключении (технологическом присоединении) объекта к централизованной системе холодного водоснабжения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и/или водоотведения (Приложение 5).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Заявление о подключении должно содержать следующую информацию: </w:t>
      </w:r>
    </w:p>
    <w:p w:rsidR="000456DE" w:rsidRPr="00732DE4" w:rsidRDefault="00311C78" w:rsidP="00732DE4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1037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полное и сокращенное наименования заявителя (для физических лиц - фамилия, имя, отчество), </w:t>
      </w:r>
    </w:p>
    <w:p w:rsidR="000456DE" w:rsidRPr="00732DE4" w:rsidRDefault="00311C78" w:rsidP="00732DE4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местонахождение и почтовый адрес заявителя, </w:t>
      </w:r>
    </w:p>
    <w:p w:rsidR="000456DE" w:rsidRPr="00732DE4" w:rsidRDefault="00311C78" w:rsidP="00732DE4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наименование подключаемого объекта и кадастровый номер земельного участка, на котором располагается подключаемый объект, </w:t>
      </w:r>
    </w:p>
    <w:p w:rsidR="000456DE" w:rsidRPr="00732DE4" w:rsidRDefault="00311C78" w:rsidP="00732DE4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данные об общей подключаемой нагрузке, </w:t>
      </w:r>
    </w:p>
    <w:p w:rsidR="000456DE" w:rsidRPr="00732DE4" w:rsidRDefault="00311C78" w:rsidP="00732DE4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контактную информацию (номер телефона, электронная почта). 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К заявлению о подключении прилагаются следующие документы: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а) копии учредительных документов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(устав,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свидетельство о государственной регистрации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юридического лица, свидетельство о государственной регистрации индивидуального предпринимателя; для физ</w:t>
      </w:r>
      <w:proofErr w:type="gramStart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.л</w:t>
      </w:r>
      <w:proofErr w:type="gramEnd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иц – копия паспорта, ИНН),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а также документы,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подтверждающие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полномочия лица, подписавшего запрос;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б) нотариально заверенные копии правоустанавливающих документов на земельный участок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(для собственника – свидетельство о государственной регистрации права собственности, для арендатора – договор аренды);</w:t>
      </w:r>
    </w:p>
    <w:p w:rsidR="009A13F8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в) ситуационный план расположения объекта с привязкой к</w:t>
      </w:r>
      <w:r w:rsidR="009A13F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территории населенного пункта;</w:t>
      </w:r>
    </w:p>
    <w:p w:rsidR="009A13F8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 топографическая карта участка в масштабе 1:500 (со всеми наземными и подземными</w:t>
      </w:r>
      <w:r w:rsidR="009A13F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коммуникациями и сооружениями), согласованная с эксплуатирующими организациями;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информация о сроках строительства (реконструкции) и ввода в эксплуатацию строящегося</w:t>
      </w:r>
      <w:r w:rsidR="009A13F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(реконструируемого) объекта;</w:t>
      </w:r>
      <w:bookmarkStart w:id="6" w:name="page15"/>
      <w:bookmarkEnd w:id="6"/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з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сведения о назначении объекта, высоте и об этажности зданий, строений, сооружений.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если заявитель ранее предоставлял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такие документы при получении ТУ и сведения, содержащиеся в этих документах, не изменились, повторное предоставление этих документов не требуется.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Предварительное согласование места размещения объекта </w:t>
      </w:r>
      <w:r w:rsidRPr="00732DE4">
        <w:rPr>
          <w:rFonts w:asciiTheme="majorHAnsi" w:hAnsiTheme="majorHAnsi" w:cs="Times New Roman"/>
          <w:i/>
          <w:iCs/>
          <w:sz w:val="24"/>
          <w:szCs w:val="24"/>
          <w:u w:val="single"/>
          <w:lang w:val="ru-RU"/>
        </w:rPr>
        <w:t>(град</w:t>
      </w:r>
      <w:r w:rsidR="009A13F8" w:rsidRPr="00732DE4">
        <w:rPr>
          <w:rFonts w:asciiTheme="majorHAnsi" w:hAnsiTheme="majorHAnsi" w:cs="Times New Roman"/>
          <w:i/>
          <w:iCs/>
          <w:sz w:val="24"/>
          <w:szCs w:val="24"/>
          <w:u w:val="single"/>
          <w:lang w:val="ru-RU"/>
        </w:rPr>
        <w:t xml:space="preserve">остроительный </w:t>
      </w:r>
      <w:r w:rsidRPr="00732DE4">
        <w:rPr>
          <w:rFonts w:asciiTheme="majorHAnsi" w:hAnsiTheme="majorHAnsi" w:cs="Times New Roman"/>
          <w:i/>
          <w:iCs/>
          <w:sz w:val="24"/>
          <w:szCs w:val="24"/>
          <w:u w:val="single"/>
          <w:lang w:val="ru-RU"/>
        </w:rPr>
        <w:t>план)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не является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правовым основанием владения земельным участком.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Прием и регистраци</w:t>
      </w:r>
      <w:r w:rsidR="00021306" w:rsidRPr="00732DE4">
        <w:rPr>
          <w:rFonts w:asciiTheme="majorHAnsi" w:hAnsiTheme="majorHAnsi" w:cs="Times New Roman"/>
          <w:sz w:val="24"/>
          <w:szCs w:val="24"/>
          <w:lang w:val="ru-RU"/>
        </w:rPr>
        <w:t>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заявления о подключении объекта и необходимых документов осуществляет </w:t>
      </w:r>
      <w:r w:rsidR="00E10131" w:rsidRPr="00732DE4">
        <w:rPr>
          <w:rFonts w:asciiTheme="majorHAnsi" w:hAnsiTheme="majorHAnsi" w:cs="Times New Roman"/>
          <w:sz w:val="24"/>
          <w:szCs w:val="24"/>
          <w:lang w:val="ru-RU"/>
        </w:rPr>
        <w:t>через общий отдел</w:t>
      </w:r>
      <w:r w:rsidR="00376A9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и в течение 1 рабочего дня </w:t>
      </w:r>
      <w:r w:rsidR="00E10131" w:rsidRPr="00732DE4">
        <w:rPr>
          <w:rFonts w:asciiTheme="majorHAnsi" w:hAnsiTheme="majorHAnsi" w:cs="Times New Roman"/>
          <w:sz w:val="24"/>
          <w:szCs w:val="24"/>
          <w:lang w:val="ru-RU"/>
        </w:rPr>
        <w:t>направля</w:t>
      </w:r>
      <w:r w:rsidR="00376A9A" w:rsidRPr="00732DE4">
        <w:rPr>
          <w:rFonts w:asciiTheme="majorHAnsi" w:hAnsiTheme="majorHAnsi" w:cs="Times New Roman"/>
          <w:sz w:val="24"/>
          <w:szCs w:val="24"/>
          <w:lang w:val="ru-RU"/>
        </w:rPr>
        <w:t>ю</w:t>
      </w:r>
      <w:r w:rsidR="00E10131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тся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– 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в течение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10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рабочих дней рассматривает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полученные документы и проверяет их на соответствие перечню, указанному в </w:t>
      </w: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пп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3.1.2., 3.1.3. настоящего Регламента, и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некомплектности представленных документов или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несоответствия представленного баланса водопотребления и водоотведения назначению объекта, высоте и этажности зданий, строений и сооружений,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обеспечивает подготовку мотивированного отказа заявителю в принятии документов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баланса водопотребления и водоотведения. Отказ согласовывается с начальником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подписывается 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>директором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предоставления всех документов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определяет возможность заключения договора о подключении и выдачи УП в зависимости от наличия технической возможности подключения и свободной мощности в предполагаемой точке подключения, которые устанавливаются с использованием критериев, указанных в п.2.1.5 настоящего Регламента, а также наличия в инвестиционной программе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мероприятий, обеспечивающих техническую возможность подключения. </w:t>
      </w:r>
      <w:proofErr w:type="gramEnd"/>
    </w:p>
    <w:p w:rsidR="000456DE" w:rsidRPr="00732DE4" w:rsidRDefault="00311C78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наличии технической возможности подключения и величине подключаемой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нагрузки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не превышающей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10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куб.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метров в час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(осуществляется с использованием создаваемых сетей водоснабжения и (или) водоотведения с площадью поперечного сечения трубопровода, превышающей 300 кв. сантиметров (Ø195 мм))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в течение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10-ти рабочих дней с момента получения полной информации и всех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документов разрабатывает:</w:t>
      </w:r>
    </w:p>
    <w:p w:rsidR="007537B9" w:rsidRPr="00732DE4" w:rsidRDefault="007537B9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а) проект условий подключения и организует его согласование с начальником ИТО и в зависимости от типа сети и места расположения объекта </w:t>
      </w:r>
      <w:r w:rsidRPr="00732DE4">
        <w:rPr>
          <w:rFonts w:asciiTheme="majorHAnsi" w:hAnsiTheme="majorHAnsi" w:cs="Times New Roman"/>
          <w:i/>
          <w:sz w:val="24"/>
          <w:szCs w:val="24"/>
          <w:lang w:val="ru-RU"/>
        </w:rPr>
        <w:t xml:space="preserve">с начальником соответствующего </w:t>
      </w:r>
      <w:r w:rsidR="00BB7634" w:rsidRPr="00732DE4">
        <w:rPr>
          <w:rFonts w:asciiTheme="majorHAnsi" w:hAnsiTheme="majorHAnsi" w:cs="Times New Roman"/>
          <w:i/>
          <w:sz w:val="24"/>
          <w:szCs w:val="24"/>
          <w:lang w:val="ru-RU"/>
        </w:rPr>
        <w:t>цеха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537B9" w:rsidRPr="00732DE4" w:rsidRDefault="007537B9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б) проект договора о подключении и организует его согласование с начальником ИТО, н</w:t>
      </w:r>
      <w:r w:rsidR="00376A9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ачальником юридического отдела,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и заместителем директора по производственным вопросам.</w:t>
      </w:r>
    </w:p>
    <w:p w:rsidR="0042509B" w:rsidRPr="00732DE4" w:rsidRDefault="0042509B" w:rsidP="00732DE4">
      <w:pPr>
        <w:pStyle w:val="a5"/>
        <w:widowControl w:val="0"/>
        <w:numPr>
          <w:ilvl w:val="2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Начальник </w:t>
      </w:r>
      <w:r w:rsidR="00362D44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цеха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организу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е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т проверку возможности подключения с выездом на местность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r w:rsidR="00311C78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согласовывает проект условий подключения или предлагает другую точку подключения в течение 5 рабочих дней.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Подписание договора о подключении, условий подключения и всех приложений к договору осуществляет директор. Сопроводительное письмо подписывается одновременно с подписанием договора.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4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– 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ведет электронную и бумажную базу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данных по учету заявлений на заключени</w:t>
      </w:r>
      <w:r w:rsidR="0042509B" w:rsidRPr="00732DE4">
        <w:rPr>
          <w:rFonts w:asciiTheme="majorHAnsi" w:hAnsiTheme="majorHAnsi" w:cs="Times New Roman"/>
          <w:sz w:val="24"/>
          <w:szCs w:val="24"/>
          <w:lang w:val="ru-RU"/>
        </w:rPr>
        <w:t>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договоров о подключении, выданных договоров и условий подключения, отказов в выдаче указанных условий (Приложение 6).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первичного обращения Заявителя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или изменения каких-либо его сведений,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вносит в электронную базу данных следующую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="0042509B" w:rsidRPr="00732DE4">
        <w:rPr>
          <w:rFonts w:asciiTheme="majorHAnsi" w:hAnsiTheme="majorHAnsi" w:cs="Times New Roman"/>
          <w:sz w:val="24"/>
          <w:szCs w:val="24"/>
          <w:lang w:val="ru-RU"/>
        </w:rPr>
        <w:t>информацию по Заявителю:</w:t>
      </w:r>
    </w:p>
    <w:p w:rsidR="000456DE" w:rsidRPr="00732DE4" w:rsidRDefault="00311C78" w:rsidP="00732DE4">
      <w:pPr>
        <w:widowControl w:val="0"/>
        <w:numPr>
          <w:ilvl w:val="0"/>
          <w:numId w:val="21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полное и сокращенное наименования заявителя (для физических лиц - фамилия, имя, отчество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)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,;</w:t>
      </w:r>
      <w:proofErr w:type="gramEnd"/>
    </w:p>
    <w:p w:rsidR="000456DE" w:rsidRPr="00732DE4" w:rsidRDefault="00311C78" w:rsidP="00732DE4">
      <w:pPr>
        <w:widowControl w:val="0"/>
        <w:numPr>
          <w:ilvl w:val="0"/>
          <w:numId w:val="21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местонахожде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ние и почтовый адрес заявителя;</w:t>
      </w:r>
    </w:p>
    <w:p w:rsidR="000456DE" w:rsidRPr="00732DE4" w:rsidRDefault="0042509B" w:rsidP="00732DE4">
      <w:pPr>
        <w:widowControl w:val="0"/>
        <w:numPr>
          <w:ilvl w:val="0"/>
          <w:numId w:val="21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контактную информацию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;</w:t>
      </w:r>
      <w:r w:rsidR="00311C78" w:rsidRPr="00732DE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6A9A" w:rsidRPr="00732DE4" w:rsidRDefault="00311C78" w:rsidP="00732DE4">
      <w:pPr>
        <w:widowControl w:val="0"/>
        <w:numPr>
          <w:ilvl w:val="0"/>
          <w:numId w:val="21"/>
        </w:numPr>
        <w:tabs>
          <w:tab w:val="clear" w:pos="720"/>
          <w:tab w:val="left" w:pos="851"/>
          <w:tab w:val="num" w:pos="96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паспортные данные (для частного сектора и физ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.л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>иц), ИНН, КПП, ОГРН, ОКВЭД, расчет</w:t>
      </w:r>
      <w:r w:rsidR="0042509B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ный счет, </w:t>
      </w:r>
      <w:proofErr w:type="spellStart"/>
      <w:r w:rsidR="0042509B" w:rsidRPr="00732DE4">
        <w:rPr>
          <w:rFonts w:asciiTheme="majorHAnsi" w:hAnsiTheme="majorHAnsi" w:cs="Times New Roman"/>
          <w:sz w:val="24"/>
          <w:szCs w:val="24"/>
          <w:lang w:val="ru-RU"/>
        </w:rPr>
        <w:t>кор</w:t>
      </w:r>
      <w:proofErr w:type="spellEnd"/>
      <w:r w:rsidR="0042509B" w:rsidRPr="00732DE4">
        <w:rPr>
          <w:rFonts w:asciiTheme="majorHAnsi" w:hAnsiTheme="majorHAnsi" w:cs="Times New Roman"/>
          <w:sz w:val="24"/>
          <w:szCs w:val="24"/>
          <w:lang w:val="ru-RU"/>
        </w:rPr>
        <w:t>. счет, БИК и пр.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0456DE" w:rsidRPr="00732DE4" w:rsidRDefault="00311C78" w:rsidP="00732DE4">
      <w:pPr>
        <w:widowControl w:val="0"/>
        <w:numPr>
          <w:ilvl w:val="0"/>
          <w:numId w:val="21"/>
        </w:numPr>
        <w:tabs>
          <w:tab w:val="clear" w:pos="720"/>
          <w:tab w:val="left" w:pos="851"/>
          <w:tab w:val="num" w:pos="96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наименование подключаемого объекта,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 xml:space="preserve"> - адрес подключаемого объекта;</w:t>
      </w:r>
    </w:p>
    <w:p w:rsidR="0032199A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- кадастровый номер земельного участка, на котором рас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полагается подключаемый объект;</w:t>
      </w:r>
    </w:p>
    <w:p w:rsidR="0032199A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- основания владения объектом и 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>реквизиты указанного документа;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- основания владения земельным участком и реквизиты указанного документа. </w:t>
      </w:r>
    </w:p>
    <w:p w:rsidR="000456DE" w:rsidRPr="00732DE4" w:rsidRDefault="0026638C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Инженер 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забирает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следующие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документы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в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архив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отдела</w:t>
      </w:r>
      <w:r w:rsidR="00311C78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="0032199A" w:rsidRPr="00732DE4">
        <w:rPr>
          <w:rFonts w:asciiTheme="majorHAnsi" w:hAnsiTheme="majorHAnsi" w:cs="Times New Roman"/>
          <w:sz w:val="24"/>
          <w:szCs w:val="24"/>
          <w:lang w:val="ru-RU"/>
        </w:rPr>
        <w:t>реализации: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а) копии учредительных документов,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а также документы,</w:t>
      </w:r>
      <w:r w:rsidR="00AC4A9B">
        <w:rPr>
          <w:rFonts w:asciiTheme="majorHAnsi" w:hAnsiTheme="majorHAnsi" w:cs="Times New Roman"/>
          <w:sz w:val="24"/>
          <w:szCs w:val="24"/>
          <w:lang w:val="ru-RU"/>
        </w:rPr>
        <w:t xml:space="preserve"> подтверждающие полномочия лица;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подписавшего запрос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(устав,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свидетельство о государственной регистрации юридического лица,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свидетельство о государственной регистрации индивидуального предпринимателя; для физ</w:t>
      </w:r>
      <w:proofErr w:type="gramStart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.л</w:t>
      </w:r>
      <w:proofErr w:type="gramEnd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иц – копия паспорта, ИНН)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;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б) нотариально заверенные копии правоустанавливающих документов на земельный участок.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наличия заявителя в электронной базе данных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заносит в справочник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недостающую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информацию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после чего передает документы</w:t>
      </w:r>
      <w:r w:rsidR="00882752"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указанные в п.3.1.1</w:t>
      </w:r>
      <w:r w:rsidR="00882752" w:rsidRPr="00732DE4">
        <w:rPr>
          <w:rFonts w:asciiTheme="majorHAnsi" w:hAnsiTheme="majorHAnsi" w:cs="Times New Roman"/>
          <w:sz w:val="24"/>
          <w:szCs w:val="24"/>
          <w:lang w:val="ru-RU"/>
        </w:rPr>
        <w:t>3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архив.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осуществляет расчет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платы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 подключение исходя из установленных тарифов на подключение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(или) канализационных сетей к централизованной системе холодного водоснабжения и (или) водоотведения.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7" w:name="page19"/>
      <w:bookmarkEnd w:id="7"/>
      <w:r w:rsidRPr="00732DE4">
        <w:rPr>
          <w:rFonts w:asciiTheme="majorHAnsi" w:hAnsiTheme="majorHAnsi" w:cs="Times New Roman"/>
          <w:sz w:val="24"/>
          <w:szCs w:val="24"/>
          <w:lang w:val="ru-RU"/>
        </w:rPr>
        <w:t>Расчет платы за подключение (технологическое присоединение) с учетом величины подключаемой (технологически присоединяемой) нагрузки определяется как произведение заявленной нагрузки объекта (увеличения потребляемой нагрузки при реконструкции) и ставки тарифа на подключение.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Расчет платы за подключение (технологическое присоединение) с учетом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 является предварительным и определяется как произведение расстояния и ставки тарифа за расстояние.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Расстояние и ставка тарифа за расстояние определяется на основании:</w:t>
      </w:r>
    </w:p>
    <w:p w:rsidR="000456DE" w:rsidRPr="00732DE4" w:rsidRDefault="00311C78" w:rsidP="00732DE4">
      <w:pPr>
        <w:widowControl w:val="0"/>
        <w:numPr>
          <w:ilvl w:val="0"/>
          <w:numId w:val="23"/>
        </w:numPr>
        <w:tabs>
          <w:tab w:val="clear" w:pos="720"/>
          <w:tab w:val="left" w:pos="851"/>
          <w:tab w:val="num" w:pos="1205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глубины заложения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прокладываемого трубопровода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принимается равной глубине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заложения существующего трубопровода в точке подключения</w:t>
      </w:r>
      <w:r w:rsidR="006435FB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или установленной нормативными документами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; </w:t>
      </w:r>
    </w:p>
    <w:p w:rsidR="000456DE" w:rsidRPr="00732DE4" w:rsidRDefault="00311C78" w:rsidP="00732DE4">
      <w:pPr>
        <w:widowControl w:val="0"/>
        <w:numPr>
          <w:ilvl w:val="0"/>
          <w:numId w:val="23"/>
        </w:numPr>
        <w:tabs>
          <w:tab w:val="clear" w:pos="720"/>
          <w:tab w:val="left" w:pos="851"/>
          <w:tab w:val="num" w:pos="98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расстояния от точки подключения до границы земельного участка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или внешней стены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многоквартирного жилого дома - принимается как кратчайшая трасса, проходящая по муниципальной земле с учетом требований СП 18.13330.2011 (табл.6 и 7), СП 31.13330.2012, СП 32.13330.2012 и возможности последующего</w:t>
      </w:r>
      <w:r w:rsidR="0032199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подключения других Заявителей;</w:t>
      </w:r>
    </w:p>
    <w:p w:rsidR="000456DE" w:rsidRPr="00732DE4" w:rsidRDefault="00311C78" w:rsidP="00732DE4">
      <w:pPr>
        <w:widowControl w:val="0"/>
        <w:numPr>
          <w:ilvl w:val="0"/>
          <w:numId w:val="23"/>
        </w:numPr>
        <w:tabs>
          <w:tab w:val="clear" w:pos="720"/>
          <w:tab w:val="left" w:pos="851"/>
          <w:tab w:val="num" w:pos="9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способа разработки грунта (в отвал или на вывоз</w:t>
      </w:r>
      <w:r w:rsidR="00194333" w:rsidRPr="00732DE4">
        <w:rPr>
          <w:rFonts w:asciiTheme="majorHAnsi" w:hAnsiTheme="majorHAnsi" w:cs="Times New Roman"/>
          <w:sz w:val="24"/>
          <w:szCs w:val="24"/>
          <w:lang w:val="ru-RU"/>
        </w:rPr>
        <w:t>).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30-дневный срок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регистрации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заявления о подключении (с даты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регистрации предоставления недостающих сведений) </w:t>
      </w:r>
      <w:r w:rsidR="000D5769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начальник</w:t>
      </w:r>
      <w:r w:rsidR="000D576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0D5769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юридического отдела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0D5769" w:rsidRPr="00732DE4">
        <w:rPr>
          <w:rFonts w:asciiTheme="majorHAnsi" w:hAnsiTheme="majorHAnsi" w:cs="Times New Roman"/>
          <w:i/>
          <w:sz w:val="24"/>
          <w:szCs w:val="24"/>
          <w:lang w:val="ru-RU"/>
        </w:rPr>
        <w:t>(далее – ЮО)</w:t>
      </w:r>
      <w:r w:rsidR="000D576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направляет подписанное сопроводительное письмо с приложением двух экземпляров договора о подключении и условий подключ</w:t>
      </w:r>
      <w:r w:rsidR="006435FB" w:rsidRPr="00732DE4">
        <w:rPr>
          <w:rFonts w:asciiTheme="majorHAnsi" w:hAnsiTheme="majorHAnsi" w:cs="Times New Roman"/>
          <w:sz w:val="24"/>
          <w:szCs w:val="24"/>
          <w:lang w:val="ru-RU"/>
        </w:rPr>
        <w:t>ения заказчику.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Возвращенный заказчиком подписанный с его стороны договор о подключении (без протокола разногласий) передается в </w:t>
      </w:r>
      <w:r w:rsidR="000D5769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поступлении от заказчика протокола разногласий к договору о подключении данный протокол разногласий передается со всеми приложенными документами </w:t>
      </w:r>
      <w:r w:rsidR="000D5769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ЮО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для дальнейшей работы по согласованию протокола разногласий.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8" w:name="page21"/>
      <w:bookmarkEnd w:id="8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Начальник юридического отдела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после получения согласований или возражений по итогам рассмотрения протокола разногласий оформляет протокол согласования разногласий с целью подписания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направления заказчику.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Подписанный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1 экземпляр протокола разногласий (в случае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отсутствия необходимости оформления прот</w:t>
      </w:r>
      <w:r w:rsidR="000D5769" w:rsidRPr="00732DE4">
        <w:rPr>
          <w:rFonts w:asciiTheme="majorHAnsi" w:hAnsiTheme="majorHAnsi" w:cs="Times New Roman"/>
          <w:sz w:val="24"/>
          <w:szCs w:val="24"/>
          <w:lang w:val="ru-RU"/>
        </w:rPr>
        <w:t>окола согласования</w:t>
      </w:r>
      <w:proofErr w:type="gramEnd"/>
      <w:r w:rsidR="000D576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разногласий)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 с</w:t>
      </w:r>
      <w:r w:rsidR="000D5769" w:rsidRPr="00732DE4">
        <w:rPr>
          <w:rFonts w:asciiTheme="majorHAnsi" w:hAnsiTheme="majorHAnsi" w:cs="Times New Roman"/>
          <w:sz w:val="24"/>
          <w:szCs w:val="24"/>
          <w:lang w:val="ru-RU"/>
        </w:rPr>
        <w:t>опроводительным письмом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передаются заказчику. С момента подписания протокола разногласий (без протокола согласования разногласий)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договор о подключении считается заключенным.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оформления протокола согласования разногласий данный документ в 2-х экземплярах вместе с протоколом разногласий передается </w:t>
      </w:r>
      <w:r w:rsidR="000D5769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Pr="00732DE4">
        <w:rPr>
          <w:rFonts w:asciiTheme="majorHAnsi" w:hAnsiTheme="majorHAnsi" w:cs="Times New Roman"/>
          <w:i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 целью подписания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протокола разногласий и протокола согласования разногласий и сопроводительного письма.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1 экземпляр подписанного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протокола разногласий с 2-мя экземплярами подписанного протокола согласования разногласий, а также сопроводительное письмо передаются в </w:t>
      </w:r>
      <w:r w:rsidR="000D5769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Pr="00732DE4">
        <w:rPr>
          <w:rFonts w:asciiTheme="majorHAnsi" w:hAnsiTheme="majorHAnsi" w:cs="Times New Roman"/>
          <w:i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 целью передачи документов заказчику.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Подписанный со стороны заказчика протокол согласования разногласий к договору о подключении регистрируется и передается </w:t>
      </w:r>
      <w:r w:rsidR="000D5769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 С момента получения от заказчика подписанного протокола согласования разногласий договор о подключении считается заключенным.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неподписании со стороны заказчика договора (протокола согласования разногласий) в течение 30 дней с момента получения договора (протокола согласования разногласий) или поступлении в адрес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нового протокола, договор о подключении считается незаключенным (условия подключения – не действующими), о чем в 3-хдневный срок </w:t>
      </w:r>
      <w:r w:rsidR="00B76BC6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начальник</w:t>
      </w:r>
      <w:r w:rsidR="00B76BC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B76BC6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юридического отдела</w:t>
      </w:r>
      <w:r w:rsidR="00B76BC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извещает заказчика.</w:t>
      </w:r>
      <w:proofErr w:type="gramEnd"/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Контроль за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сроками прохождения и возвратом договора на подключение возлагается</w:t>
      </w:r>
      <w:r w:rsidR="00194333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 </w:t>
      </w:r>
      <w:r w:rsidR="00B76BC6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начальника</w:t>
      </w:r>
      <w:r w:rsidR="00B76BC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B76BC6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юридического отдела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Оригинал заключенного договора о подключении (с протоколом разногласий, протоколом согласования разногласий – при их наличии) хранится </w:t>
      </w:r>
      <w:r w:rsidR="00B76BC6" w:rsidRPr="00732DE4">
        <w:rPr>
          <w:rFonts w:asciiTheme="majorHAnsi" w:hAnsiTheme="majorHAnsi" w:cs="Times New Roman"/>
          <w:i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При отсутствии технической возможности подключения и при отсутствии в инвестиционной программе мероприятий, обеспечивающих техническую возможность подключения, а</w:t>
      </w:r>
      <w:r w:rsidR="00194333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также в случаях подключения объектов капитального строительства, величина подключаемой нагрузки которых превышает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10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куб.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метров в час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(осуществляется с использованием создаваемых сетей водоснабжения и (или) водоотведения с площадью поперечного сечения трубопровода, превышающей 300 кв. сантиметров)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="00194333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не позднее 5 (пяти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)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рабочих дней с момента получения Заявления о подключении </w:t>
      </w:r>
      <w:r w:rsidR="00B76BC6" w:rsidRPr="00732DE4">
        <w:rPr>
          <w:rFonts w:asciiTheme="majorHAnsi" w:hAnsiTheme="majorHAnsi" w:cs="Times New Roman"/>
          <w:sz w:val="24"/>
          <w:szCs w:val="24"/>
          <w:lang w:val="ru-RU"/>
        </w:rPr>
        <w:t>рассматривает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вопроса о технической возможности подключения такого Объекта и утверждения перечня необходимых мероприятий с составлением протокола, а также рассмотрение вопроса о необходимости обращения 30-ти </w:t>
      </w:r>
      <w:r w:rsidR="00194333" w:rsidRPr="00732DE4">
        <w:rPr>
          <w:rFonts w:asciiTheme="majorHAnsi" w:hAnsiTheme="majorHAnsi" w:cs="Times New Roman"/>
          <w:sz w:val="24"/>
          <w:szCs w:val="24"/>
          <w:lang w:val="ru-RU"/>
        </w:rPr>
        <w:t>дневный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срок в </w:t>
      </w:r>
      <w:r w:rsidR="00194333" w:rsidRPr="00732DE4">
        <w:rPr>
          <w:rFonts w:asciiTheme="majorHAnsi" w:hAnsiTheme="majorHAnsi" w:cs="Times New Roman"/>
          <w:sz w:val="24"/>
          <w:szCs w:val="24"/>
          <w:lang w:val="ru-RU"/>
        </w:rPr>
        <w:t>уполномоченный орган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D26B3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Ненецкого автономного округа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 предложением о включении в инвестиционную программу мероприятий, обеспечивающих техническую возможность подключения Объекта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заявителя, об установлении индивидуальной платы за подключение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или об учете расходов, связанных с подключением, при установлении тарифов этой организации на очередной период регулирования.</w:t>
      </w:r>
      <w:bookmarkStart w:id="9" w:name="page23"/>
      <w:bookmarkEnd w:id="9"/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Заместитель </w:t>
      </w:r>
      <w:r w:rsidR="00C951A9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директора</w:t>
      </w:r>
      <w:r w:rsidR="00D26B3D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по </w:t>
      </w:r>
      <w:r w:rsidR="00B76BC6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производственным вопросам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готовит мотивированное письменное обращение в адрес </w:t>
      </w:r>
      <w:r w:rsidR="00D26B3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уполномоченного органа Ненецкого автономного округа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 приложением следующих материалов: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а) копию полученной заявки со всеми приложениями и дополнениями;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б) проект условий подключения, подготовленный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инженером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исполнителем;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в) калькуляцию затрат на подключение Объекта к сетям водоснабжения и (или) водоотведения, рассчитанную на основании укрупненных сметных нормативов;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 техническую документацию, обосновывающую отсутствие технической возможности подключения Объекта Заказчика к сетям водоснабжения и (или) водоотведения;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иную необходимую документацию.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принятия </w:t>
      </w:r>
      <w:r w:rsidR="00D26B3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уполномоченным органом Ненецкого автономного округа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решения о включении в инвестиционную программу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мероприятий, обеспечивающих техническую возможность подключения и финансовые потребности, необходимые для подключения, заключение договора о подключении производится в порядке, предусмотренном действующим законодательством и настоящим Регламентом.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принятия решения об отказе во включении в инвестиционную программу мероприятий, обеспечивающих техническую возможность подключения Объекта заявителя, </w:t>
      </w:r>
      <w:r w:rsidR="00D26B3D" w:rsidRPr="00732DE4">
        <w:rPr>
          <w:rFonts w:asciiTheme="majorHAnsi" w:hAnsiTheme="majorHAnsi" w:cs="Times New Roman"/>
          <w:sz w:val="24"/>
          <w:szCs w:val="24"/>
          <w:lang w:val="ru-RU"/>
        </w:rPr>
        <w:t>уполномоченный орган Ненецкого автономного округа обязан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обосновать отказ и предоставить заявителю информацию об иных возможностях обеспечения холодного водоснабжения и (или) водоотведения, а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обеспечивает подготовку мотивированного отказа в заключени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и</w:t>
      </w:r>
      <w:proofErr w:type="gramEnd"/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договора о подключении. Отказ согласовывается с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заместителем </w:t>
      </w:r>
      <w:r w:rsidR="00C951A9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директора</w:t>
      </w:r>
      <w:r w:rsidR="00D26B3D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экономике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и финансам и подписывается 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директором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</w:p>
    <w:p w:rsidR="000456DE" w:rsidRPr="00732DE4" w:rsidRDefault="00311C78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Контроль над сроками прохождения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(подготовка,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согласование,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подписание со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стороны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),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подписанием договора заявителем возлагается на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="00B76BC6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="00E10131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E10131" w:rsidRPr="00732DE4" w:rsidRDefault="00E10131" w:rsidP="00732DE4">
      <w:pPr>
        <w:widowControl w:val="0"/>
        <w:numPr>
          <w:ilvl w:val="1"/>
          <w:numId w:val="20"/>
        </w:numPr>
        <w:tabs>
          <w:tab w:val="clear" w:pos="1440"/>
          <w:tab w:val="left" w:pos="851"/>
          <w:tab w:val="num" w:pos="155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Контроль за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соблюдением сроков оплаты возлагается на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бухгалтерию.</w:t>
      </w:r>
    </w:p>
    <w:p w:rsidR="000456DE" w:rsidRPr="00732DE4" w:rsidRDefault="00311C78" w:rsidP="00AC4A9B">
      <w:pPr>
        <w:widowControl w:val="0"/>
        <w:numPr>
          <w:ilvl w:val="3"/>
          <w:numId w:val="25"/>
        </w:numPr>
        <w:tabs>
          <w:tab w:val="clear" w:pos="2880"/>
          <w:tab w:val="left" w:pos="851"/>
          <w:tab w:val="num" w:pos="141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Порядок заключения трехстороннего договора о подключении </w:t>
      </w:r>
    </w:p>
    <w:p w:rsidR="000456DE" w:rsidRPr="00732DE4" w:rsidRDefault="00311C78" w:rsidP="00732DE4">
      <w:pPr>
        <w:widowControl w:val="0"/>
        <w:numPr>
          <w:ilvl w:val="1"/>
          <w:numId w:val="26"/>
        </w:numPr>
        <w:tabs>
          <w:tab w:val="clear" w:pos="1440"/>
          <w:tab w:val="left" w:pos="851"/>
          <w:tab w:val="num" w:pos="1397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Договор о подключении объекта к существующим сетям водоснабжения и (или) водоотведения, принадлежащим на праве собственности или на ином законном основании основному абоненту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заключается между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м, основным абонентом и заказчиком при наличии у заказчика технических условий, выданных основным абонентом по согласованию с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или непосредственно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0456DE" w:rsidRPr="00732DE4" w:rsidRDefault="00311C78" w:rsidP="00732DE4">
      <w:pPr>
        <w:widowControl w:val="0"/>
        <w:numPr>
          <w:ilvl w:val="0"/>
          <w:numId w:val="27"/>
        </w:numPr>
        <w:tabs>
          <w:tab w:val="clear" w:pos="720"/>
          <w:tab w:val="left" w:pos="851"/>
          <w:tab w:val="num" w:pos="1257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Основной абонент и заказчик подают совместное заявление о подключении (Приложение 7) с целью заключения 3-х стороннего договора о подключении</w:t>
      </w:r>
      <w:r w:rsidR="008C786A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numPr>
          <w:ilvl w:val="0"/>
          <w:numId w:val="27"/>
        </w:numPr>
        <w:tabs>
          <w:tab w:val="clear" w:pos="720"/>
          <w:tab w:val="left" w:pos="851"/>
          <w:tab w:val="num" w:pos="1308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Порядок заключения 3-х стороннего договора о подключении соответствует порядку заключения двухстороннего договора о подключении. Все документы при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заключении и дальнейшем исполнении договора подготавливаются в 3-х экземплярах (договор с приложениями, разрешение на присоединение, акт о присоединении) и направляются в адрес заказчика, который обеспечивает подписание договора (иных документов)</w:t>
      </w:r>
      <w:r w:rsidR="008C786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со стороны основного абонента.</w:t>
      </w:r>
      <w:bookmarkStart w:id="10" w:name="page25"/>
      <w:bookmarkEnd w:id="10"/>
    </w:p>
    <w:p w:rsidR="008C786A" w:rsidRPr="00732DE4" w:rsidRDefault="008C786A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4.</w:t>
      </w:r>
      <w:r w:rsidR="00AE19A5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ПОРЯДОК ИСПОЛНЕНИЯ ДОГОВОРА О ПОДКЛЮЧЕНИИ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4.1. Разработка рабочей и проектной документации заказчиком</w:t>
      </w:r>
    </w:p>
    <w:p w:rsidR="00EC3856" w:rsidRPr="00732DE4" w:rsidRDefault="00311C78" w:rsidP="00732DE4">
      <w:pPr>
        <w:pStyle w:val="a5"/>
        <w:widowControl w:val="0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 целях реализации в процессе строительства технических и технологических решений в части водоснабжения и (или) водоотведения объекта (в частности, определения точки присоединения) заказчик разрабатывает проектную и рабочую документацию в соответствии с ранее полученными условиями подключения</w:t>
      </w:r>
      <w:r w:rsidR="0005441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(в границах земельного участка заказчика)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Для организации коммерческого учета холодной воды и сточных вод заказчикам необходимо выполнить следующие мероприятия: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а) получение технических условий на проектирование узла учета в отделе реализации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r w:rsidR="008C786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gramStart"/>
      <w:r w:rsidR="00D97DE5" w:rsidRPr="00732DE4">
        <w:rPr>
          <w:rFonts w:asciiTheme="majorHAnsi" w:hAnsiTheme="majorHAnsi" w:cs="Times New Roman"/>
          <w:sz w:val="24"/>
          <w:szCs w:val="24"/>
          <w:lang w:val="ru-RU"/>
        </w:rPr>
        <w:t>согласно</w:t>
      </w:r>
      <w:proofErr w:type="gramEnd"/>
      <w:r w:rsidR="00D97DE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поданной заявки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(кроме индивидуальных жилых домов и квартир в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многоквартирных жилых домах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).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ТУ на проектирование узла учета выдаются на возмездной основе;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б) проектирование узла учета в проектной организации, имеющей допуск СРО на данный вид работ;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согласование схемы узла учета в отделе реализации (осу</w:t>
      </w:r>
      <w:r w:rsidR="008C786A" w:rsidRPr="00732DE4">
        <w:rPr>
          <w:rFonts w:asciiTheme="majorHAnsi" w:hAnsiTheme="majorHAnsi" w:cs="Times New Roman"/>
          <w:sz w:val="24"/>
          <w:szCs w:val="24"/>
          <w:lang w:val="ru-RU"/>
        </w:rPr>
        <w:t>ществляется без взимания платы).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С целью рассмотрения рабочей документации на предмет соответствия условиям подключения заказчик обращается с заявлением на имя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директора</w:t>
      </w:r>
      <w:r w:rsidR="008C786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 приложением 2-х экземпляров рабочей документации, один из которых остается в архиве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 второй - возвращается заказчику с результатами рассмотрения.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Рассмотрение рабочей документации осуществляется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инженером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течение </w:t>
      </w:r>
      <w:r w:rsidR="004E2927" w:rsidRPr="00732DE4">
        <w:rPr>
          <w:rFonts w:asciiTheme="majorHAnsi" w:hAnsiTheme="majorHAnsi" w:cs="Times New Roman"/>
          <w:sz w:val="24"/>
          <w:szCs w:val="24"/>
          <w:lang w:val="ru-RU"/>
        </w:rPr>
        <w:t>10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рабочих дней со дня подачи заявления с приложенными материалами без взимания платы.</w:t>
      </w:r>
    </w:p>
    <w:p w:rsidR="000456DE" w:rsidRPr="00732DE4" w:rsidRDefault="00311C78" w:rsidP="00732DE4">
      <w:pPr>
        <w:pStyle w:val="a5"/>
        <w:widowControl w:val="0"/>
        <w:numPr>
          <w:ilvl w:val="2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contextualSpacing w:val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выявления в процессе проектирования (строительства, реконструкции) необходимости отступления от условий подключения, в том числе влекущих увеличение (уменьшение) потребляемой нагрузки объекта, данные отступления подлежат обязательному согласованию с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заявления заказчика (Приложение 8).</w:t>
      </w:r>
    </w:p>
    <w:p w:rsidR="000456DE" w:rsidRPr="00732DE4" w:rsidRDefault="00311C78" w:rsidP="00732DE4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num" w:pos="1339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- 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в течение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14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рабочих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регистрации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заявления о согласовании отступлений от условий подключения рассматривает возможность отступления от условий подключения и направляет в адрес заказчика мотивированный отказ от согласования отступлений от условий подключения или согласие на отступление от условий подключения. </w:t>
      </w:r>
    </w:p>
    <w:p w:rsidR="000456DE" w:rsidRPr="00732DE4" w:rsidRDefault="00311C78" w:rsidP="00732DE4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num" w:pos="13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внесения изменений в проектную документацию, влекущих увеличение (уменьшение) потребляемой нагрузки объекта, заказчик направляет заявление (Приложение 9) об изменении условий подключения в части величины потребляемой нагрузки объекта. </w:t>
      </w:r>
    </w:p>
    <w:p w:rsidR="000456DE" w:rsidRPr="00732DE4" w:rsidRDefault="00311C78" w:rsidP="00732DE4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num" w:pos="132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lastRenderedPageBreak/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- ответственный 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осуществляет подготовку изменений в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условия подключения или мотивированный отказ от внесения изменений в условия подключения в течение 14 дней со дня регистрации заявления. </w:t>
      </w:r>
    </w:p>
    <w:p w:rsidR="000456DE" w:rsidRPr="00732DE4" w:rsidRDefault="00311C78" w:rsidP="00732DE4">
      <w:pPr>
        <w:widowControl w:val="0"/>
        <w:numPr>
          <w:ilvl w:val="0"/>
          <w:numId w:val="28"/>
        </w:numPr>
        <w:tabs>
          <w:tab w:val="clear" w:pos="720"/>
          <w:tab w:val="left" w:pos="851"/>
          <w:tab w:val="num" w:pos="1243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Мотивированный отказ от внесения изменений в условия подключения подготавливается в следующих случаях: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1" w:name="page27"/>
      <w:bookmarkEnd w:id="11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вновь заявленная нагрузка объекта превышает максимальную величину, предусмотренную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действующими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ТУ, ранее выданными заказчику или прежнему правообладателю земельного участка, или органам местного самоуправления;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– срок действия ранее выданных ТУ истек или истекает в течение 30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регистрации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заявления о внесении изменений в условия подключения и техническая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возможность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увеличения нагрузки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отсутствует.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0456DE" w:rsidRPr="00732DE4" w:rsidRDefault="00311C78" w:rsidP="00732DE4">
      <w:pPr>
        <w:widowControl w:val="0"/>
        <w:numPr>
          <w:ilvl w:val="0"/>
          <w:numId w:val="30"/>
        </w:numPr>
        <w:tabs>
          <w:tab w:val="clear" w:pos="720"/>
          <w:tab w:val="left" w:pos="851"/>
          <w:tab w:val="num" w:pos="146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Если срок действия ранее выданных ТУ истек или истекает в течение 30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регистрации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заявления о внесении изменений в условия подключения, а техническая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возможность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подключения в соответствии с вновь заявленной нагрузкой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имеется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вносит изменения в условия подключения. </w:t>
      </w:r>
    </w:p>
    <w:p w:rsidR="000456DE" w:rsidRPr="00732DE4" w:rsidRDefault="00311C78" w:rsidP="00732DE4">
      <w:pPr>
        <w:widowControl w:val="0"/>
        <w:numPr>
          <w:ilvl w:val="0"/>
          <w:numId w:val="30"/>
        </w:numPr>
        <w:tabs>
          <w:tab w:val="clear" w:pos="720"/>
          <w:tab w:val="left" w:pos="851"/>
          <w:tab w:val="num" w:pos="144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Изменения в условия подключения согласовываются с начальником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главным инженером, заместителем </w:t>
      </w:r>
      <w:r w:rsidR="00C951A9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директора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 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производственным вопросам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подписываются в двух экземплярах директором. </w:t>
      </w:r>
    </w:p>
    <w:p w:rsidR="000456DE" w:rsidRPr="00732DE4" w:rsidRDefault="00311C78" w:rsidP="00732DE4">
      <w:pPr>
        <w:widowControl w:val="0"/>
        <w:numPr>
          <w:ilvl w:val="0"/>
          <w:numId w:val="30"/>
        </w:numPr>
        <w:tabs>
          <w:tab w:val="clear" w:pos="720"/>
          <w:tab w:val="left" w:pos="851"/>
          <w:tab w:val="num" w:pos="13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увеличения потребляемой нагрузки объекта свыше величины, установленной ТУ (при их наличии), и при необходимости выполнения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дополнительных мероприятий по строительству и (или) реконструкции сетей водоснабжения и (или) водоотведения с целью обеспечения данной нагрузки,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предлагает заказчику: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–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определить нагрузку в пределах величины, п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редусмотренной </w:t>
      </w:r>
      <w:proofErr w:type="gramStart"/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действующими</w:t>
      </w:r>
      <w:proofErr w:type="gramEnd"/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ТУ;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– в соответствии с п.3.1.3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2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-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3.1.3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5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настоящего Регламента. </w:t>
      </w:r>
    </w:p>
    <w:p w:rsidR="000456DE" w:rsidRPr="00732DE4" w:rsidRDefault="00311C78" w:rsidP="00732DE4">
      <w:pPr>
        <w:widowControl w:val="0"/>
        <w:numPr>
          <w:ilvl w:val="1"/>
          <w:numId w:val="32"/>
        </w:numPr>
        <w:tabs>
          <w:tab w:val="clear" w:pos="1440"/>
          <w:tab w:val="left" w:pos="851"/>
          <w:tab w:val="num" w:pos="139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После подписания изменений в условия подключения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исполнитель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совместно с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юридическим отделом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в течение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10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дней осуществляет подготовку и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подписание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2-х экземпляров дополнительного соглашения и передачу пакета документов (с приложением изменений в условия подключения и счета на оплату) заказчику с сопроводительным письмом. </w:t>
      </w:r>
    </w:p>
    <w:p w:rsidR="000456DE" w:rsidRPr="00732DE4" w:rsidRDefault="00311C78" w:rsidP="00732DE4">
      <w:pPr>
        <w:widowControl w:val="0"/>
        <w:numPr>
          <w:ilvl w:val="1"/>
          <w:numId w:val="32"/>
        </w:numPr>
        <w:tabs>
          <w:tab w:val="clear" w:pos="1440"/>
          <w:tab w:val="num" w:pos="280"/>
          <w:tab w:val="left" w:pos="851"/>
          <w:tab w:val="num" w:pos="1340"/>
          <w:tab w:val="num" w:pos="139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Контроль над сроками прохождения и возвратом дополнительного соглашения к договору 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о подключении возлагается на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="00EC3856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numPr>
          <w:ilvl w:val="2"/>
          <w:numId w:val="32"/>
        </w:numPr>
        <w:tabs>
          <w:tab w:val="clear" w:pos="2160"/>
          <w:tab w:val="left" w:pos="851"/>
          <w:tab w:val="num" w:pos="1369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Заключение дополнительного соглашения к договору о подключении, реализация проекта строительства сетей до объекта (границы земельного участка) заказчика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4.2.1. При необходимости строительства сетей водоснабжения и (или) водоотведения от объекта (границы земельного участка) заказчика до точки подключения согласно договору о подключении, окончательный размер платы за протяженность устанавливается на основани</w:t>
      </w:r>
      <w:r w:rsidR="000546A4" w:rsidRPr="00732DE4">
        <w:rPr>
          <w:rFonts w:asciiTheme="majorHAnsi" w:hAnsiTheme="majorHAnsi" w:cs="Times New Roman"/>
          <w:sz w:val="24"/>
          <w:szCs w:val="24"/>
          <w:lang w:val="ru-RU"/>
        </w:rPr>
        <w:t>и точных данных о протяженности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диаметре, глубине заложения трубопровод, а также способе разработки грунта после разработки проектно-сметной документации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4.2.2.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-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ответственный исполнитель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совместно с юридическим отделом осуществляет подготовку дополнительного соглашения к договору о подключении (путем корректировки протяженности трубопровода и применяемой ставки тарифа за расстояние), его подписание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направление 2-х экземпляров подписанного дополнительного соглашения сопроводительным письмом заказчику.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2" w:name="page29"/>
      <w:bookmarkEnd w:id="12"/>
      <w:r w:rsidRPr="00732DE4">
        <w:rPr>
          <w:rFonts w:asciiTheme="majorHAnsi" w:hAnsiTheme="majorHAnsi" w:cs="Times New Roman"/>
          <w:sz w:val="24"/>
          <w:szCs w:val="24"/>
          <w:lang w:val="ru-RU"/>
        </w:rPr>
        <w:t>4.2.3. Порядок урегулирования разногласий между сторонами по условиям дополнительного соглашения соответствует порядку урегулирования разногласий при заключении договора о подключении.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4.2.4. О подписании дополнительного соглашения к договору о подключении и внесении платы за реализацию мероприятий по строительству участка сети водоснабжения и (или) водоотведения информируется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начальник </w:t>
      </w:r>
      <w:r w:rsidR="00D65058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соответствующего </w:t>
      </w:r>
      <w:r w:rsidR="00BB7634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цеха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4.2.5. </w:t>
      </w:r>
      <w:r w:rsidR="00BB7634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Цех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приступает к реализации мероприятий по строительству участка сети коммунального водоснабжения и (или) водоотведения до границ земельного участка (а в случае подключения многоквартирного жилого дома – до границы инженерно-технических сетей, находящихся в данном доме) заказчика после заключения дополнительного соглашения и перечисления заказчиком суммы, предусмотренной дополнительным соглашением.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4.2.6. Технический надзор за строительством сетей водоснабжения и (или) водоотведения осуществляет </w:t>
      </w:r>
      <w:r w:rsidR="00D65058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инженер 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4.2.7. После введения в эксплуатацию вновь созданных сетей водоснабжения и (или) водоотведения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 и бухгалтерия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обеспечивают их постановку на бухгалтерский учет.</w:t>
      </w:r>
    </w:p>
    <w:p w:rsidR="00D65058" w:rsidRPr="00732DE4" w:rsidRDefault="00D6505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4.2.8. По взаимному соглашению сторон договора о подключении, путем заключения дополнительного соглашения, строительство участка сети может осуществляться самим заказчиком с последующей передачей построенных сетей (иных объектов) в собственность Предприятия. В таком случае плата за подключение не взимается.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4.3. Расторжение договора о подключении.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4.3.1. Плата за подключение по утвержденному тарифу вносится в размере и сроки, устано</w:t>
      </w:r>
      <w:r w:rsidR="00D65058" w:rsidRPr="00732DE4">
        <w:rPr>
          <w:rFonts w:asciiTheme="majorHAnsi" w:hAnsiTheme="majorHAnsi" w:cs="Times New Roman"/>
          <w:sz w:val="24"/>
          <w:szCs w:val="24"/>
          <w:lang w:val="ru-RU"/>
        </w:rPr>
        <w:t>вленные договором о подключении, за исключением случая, указанного в п</w:t>
      </w:r>
      <w:r w:rsidR="007F178D" w:rsidRPr="00732DE4">
        <w:rPr>
          <w:rFonts w:asciiTheme="majorHAnsi" w:hAnsiTheme="majorHAnsi" w:cs="Times New Roman"/>
          <w:sz w:val="24"/>
          <w:szCs w:val="24"/>
          <w:lang w:val="ru-RU"/>
        </w:rPr>
        <w:t>.п.</w:t>
      </w:r>
      <w:r w:rsidR="00D6505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4.2.8. </w:t>
      </w:r>
      <w:r w:rsidR="007F178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настоящего </w:t>
      </w:r>
      <w:r w:rsidR="00D65058" w:rsidRPr="00732DE4">
        <w:rPr>
          <w:rFonts w:asciiTheme="majorHAnsi" w:hAnsiTheme="majorHAnsi" w:cs="Times New Roman"/>
          <w:sz w:val="24"/>
          <w:szCs w:val="24"/>
          <w:lang w:val="ru-RU"/>
        </w:rPr>
        <w:t>Регламента.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4.3.2. </w:t>
      </w:r>
      <w:r w:rsidR="00B76BC6" w:rsidRPr="00732DE4">
        <w:rPr>
          <w:rFonts w:asciiTheme="majorHAnsi" w:hAnsiTheme="majorHAnsi" w:cs="Times New Roman"/>
          <w:i/>
          <w:sz w:val="24"/>
          <w:szCs w:val="24"/>
          <w:lang w:val="ru-RU"/>
        </w:rPr>
        <w:t>Главный бухгалтер</w:t>
      </w:r>
      <w:r w:rsidR="00B76BC6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осуществляет контроль над своевременным исполнением заказчиком обязательства по оплате и внесение информации о проведенных платежах в базы данных предприятия.</w:t>
      </w:r>
      <w:r w:rsidR="0063389A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4.3.3. В случае не внесения заказчиком в течение 15 дней авансового платежа в установленные договором сроки, </w:t>
      </w:r>
      <w:r w:rsidR="00B76BC6" w:rsidRPr="00732DE4">
        <w:rPr>
          <w:rFonts w:asciiTheme="majorHAnsi" w:hAnsiTheme="majorHAnsi" w:cs="Times New Roman"/>
          <w:i/>
          <w:sz w:val="24"/>
          <w:szCs w:val="24"/>
          <w:lang w:val="ru-RU"/>
        </w:rPr>
        <w:t>ЮО</w:t>
      </w:r>
      <w:r w:rsidR="0063389A" w:rsidRPr="00732DE4">
        <w:rPr>
          <w:rFonts w:asciiTheme="majorHAnsi" w:hAnsiTheme="majorHAnsi" w:cs="Times New Roman"/>
          <w:i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осуществляет подготовку, подписание и направление заказчику уведомления о необходимости погашения задолженности по внесению платы за подключение с приложением соглашения о расторжении договора.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4.3.4</w:t>
      </w:r>
      <w:r w:rsidR="00D65058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При отсутствии оплаты в течение 30 дней с момента получения уведомления или не возвращении заказчиком в адрес Предприятия подписанного соглашения о расторжении договора, договор о подключении может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быть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расторгнут Предприятием в одностороннем порядке.</w:t>
      </w:r>
    </w:p>
    <w:p w:rsidR="000456DE" w:rsidRPr="00732DE4" w:rsidRDefault="00311C78" w:rsidP="00732DE4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num" w:pos="128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Решение о расторжении договора о подключении в одностороннем порядке принимает директор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служебной записки начальника юридического отдела о возможности расторжения договора. </w:t>
      </w:r>
    </w:p>
    <w:p w:rsidR="000456DE" w:rsidRPr="00732DE4" w:rsidRDefault="00311C78" w:rsidP="00732DE4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num" w:pos="133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При принятии решения о расторжении договора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юридический отдел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осуществляет подготовку, подписание и направление заказчику извещения о расторжении договора в одностороннем порядке.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4.3.7. После получения извещения заказчиком, договор о подключении считается расторгнутым, условия подключения – прекратившими свое действие, о чем уведомляется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4.3.8. В случае расторжения договора заказчик вправе вновь обратиться с заявлением о подключении в пределах срока действия ТУ (при их наличии).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3" w:name="page31"/>
      <w:bookmarkEnd w:id="13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4.3.9. В пределах срока действия ТУ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не вправе использовать указанный в них ресурс для подключения объектов 3-х лиц.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4.4. Проверка выполнения заказчиком условий подключения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4.4.1. С целью проверки выполнения заказчиком условий подключения объекта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заказчик направляет в приемную телефонограмму или письменную заявку на участие в приемке скрытых работ по укладке внутриплощадочных сетей водоснабжения и (или) водоотведения объекта.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4.4.2.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7F178D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5466A2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совместно с начальником соответствующего цеха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осуществляет осмотр проложенных сетей в открытой траншее и при отсутствии замечаний – подписание актов на скрытые работы со стороны </w:t>
      </w:r>
      <w:r w:rsidR="007F178D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4.4.3. После завершения строительства водопроводных и (или) канализационных сетей и оборудования объекта, заказчик предоставляет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инженеру </w:t>
      </w:r>
      <w:r w:rsidR="00163F7B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следующий пакет исполнительной документации:</w:t>
      </w:r>
    </w:p>
    <w:p w:rsidR="000456DE" w:rsidRPr="00732DE4" w:rsidRDefault="00311C78" w:rsidP="00732DE4">
      <w:pPr>
        <w:widowControl w:val="0"/>
        <w:numPr>
          <w:ilvl w:val="1"/>
          <w:numId w:val="34"/>
        </w:numPr>
        <w:tabs>
          <w:tab w:val="clear" w:pos="144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исполнительная </w:t>
      </w:r>
      <w:r w:rsidR="005466A2" w:rsidRPr="00732DE4">
        <w:rPr>
          <w:rFonts w:asciiTheme="majorHAnsi" w:hAnsiTheme="majorHAnsi" w:cs="Times New Roman"/>
          <w:sz w:val="24"/>
          <w:szCs w:val="24"/>
          <w:lang w:val="ru-RU"/>
        </w:rPr>
        <w:t>схема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построенных</w:t>
      </w:r>
      <w:r w:rsidR="00AE19A5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водопроводных и (или) канализационных сетей М </w:t>
      </w:r>
      <w:r w:rsidR="007F178D" w:rsidRPr="00732DE4">
        <w:rPr>
          <w:rFonts w:asciiTheme="majorHAnsi" w:hAnsiTheme="majorHAnsi" w:cs="Times New Roman"/>
          <w:sz w:val="24"/>
          <w:szCs w:val="24"/>
          <w:lang w:val="ru-RU"/>
        </w:rPr>
        <w:t>1:500 (план и профиль)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со всеми привязками к капитальным зданиям и сооружениям; </w:t>
      </w:r>
    </w:p>
    <w:p w:rsidR="000456DE" w:rsidRPr="00732DE4" w:rsidRDefault="00311C78" w:rsidP="00732DE4">
      <w:pPr>
        <w:widowControl w:val="0"/>
        <w:numPr>
          <w:ilvl w:val="1"/>
          <w:numId w:val="34"/>
        </w:numPr>
        <w:tabs>
          <w:tab w:val="clear" w:pos="144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деталировка водопроводного колодца, в котором произведена врезка;</w:t>
      </w:r>
    </w:p>
    <w:p w:rsidR="000456DE" w:rsidRPr="00732DE4" w:rsidRDefault="00D65058" w:rsidP="00732DE4">
      <w:pPr>
        <w:widowControl w:val="0"/>
        <w:numPr>
          <w:ilvl w:val="1"/>
          <w:numId w:val="34"/>
        </w:numPr>
        <w:tabs>
          <w:tab w:val="clear" w:pos="144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акты на скрытые работы</w:t>
      </w:r>
      <w:r w:rsidR="00311C78" w:rsidRPr="00732DE4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0456DE" w:rsidRPr="00732DE4" w:rsidRDefault="00311C78" w:rsidP="00732DE4">
      <w:pPr>
        <w:widowControl w:val="0"/>
        <w:numPr>
          <w:ilvl w:val="1"/>
          <w:numId w:val="34"/>
        </w:numPr>
        <w:tabs>
          <w:tab w:val="clear" w:pos="144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протокол бурения с привязкой к местности (при производстве работ методом ГНБ); </w:t>
      </w:r>
    </w:p>
    <w:p w:rsidR="000456DE" w:rsidRPr="00732DE4" w:rsidRDefault="00311C78" w:rsidP="00732DE4">
      <w:pPr>
        <w:widowControl w:val="0"/>
        <w:numPr>
          <w:ilvl w:val="1"/>
          <w:numId w:val="34"/>
        </w:numPr>
        <w:tabs>
          <w:tab w:val="clear" w:pos="1440"/>
          <w:tab w:val="num" w:pos="30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сертификаты и паспорта на трубу, запорную арматуру, ж/б кольца, </w:t>
      </w: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пож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гидранты, оборудование </w:t>
      </w: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т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.д</w:t>
      </w:r>
      <w:proofErr w:type="spellEnd"/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; </w:t>
      </w:r>
    </w:p>
    <w:p w:rsidR="007F178D" w:rsidRPr="00732DE4" w:rsidRDefault="007F178D" w:rsidP="00732DE4">
      <w:pPr>
        <w:widowControl w:val="0"/>
        <w:numPr>
          <w:ilvl w:val="1"/>
          <w:numId w:val="34"/>
        </w:numPr>
        <w:tabs>
          <w:tab w:val="clear" w:pos="1440"/>
          <w:tab w:val="num" w:pos="30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при установке ПГ: акт проверки технического состояния пожарных гидрантов</w:t>
      </w:r>
      <w:r w:rsidR="005466A2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(пописанный представителем МЧС)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копия лицензии организации, проводимой испытание. Заказчик обязан установить координатную табличку на ближайшем здании (сооружении) или установить на колодец сигнальную «пирамиду» (при отсутствии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зданий и сооружений);</w:t>
      </w:r>
    </w:p>
    <w:p w:rsidR="000456DE" w:rsidRPr="00732DE4" w:rsidRDefault="00311C78" w:rsidP="00732DE4">
      <w:pPr>
        <w:widowControl w:val="0"/>
        <w:numPr>
          <w:ilvl w:val="1"/>
          <w:numId w:val="34"/>
        </w:numPr>
        <w:tabs>
          <w:tab w:val="clear" w:pos="1440"/>
          <w:tab w:val="num" w:pos="300"/>
          <w:tab w:val="num" w:pos="68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копию допуска в СРО организации выполнившей работу.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4.4.4.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, при необходимости, после дополнительного согласования времени осмотра с заказчиком направляет специалиста с целью проведения итогового осмотра водопроводных и (или) канализационных устройств и сооружений объекта на предмет соответствия условиям подключения.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4.4.5. При отсутствии замечаний со стороны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="007F178D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</w:t>
      </w:r>
      <w:proofErr w:type="spellStart"/>
      <w:r w:rsidR="00054415" w:rsidRPr="00732DE4">
        <w:rPr>
          <w:rFonts w:asciiTheme="majorHAnsi" w:hAnsiTheme="majorHAnsi" w:cs="Times New Roman"/>
          <w:sz w:val="24"/>
          <w:szCs w:val="24"/>
          <w:lang w:val="ru-RU"/>
        </w:rPr>
        <w:t>Роспотребнадзора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, представитель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устанавливает пломбы на приборах (узлах) учета, кранах и задвижках на их обводах с составлением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Акта о готовности внутриплощадочных и внутридомовых сетей к подключению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по форме согласно приложению № 3 к договору о подключении.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4.4.6. При наличии замечаний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7F178D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 течение 5 рабочих дней осуществляет подготовку, подписание и направление в адрес заказчика акта, в котором отражаются выявленные недостатки.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4.4.7. Повторная проверка осуществляется после устранения выявленных нарушений в порядке, предусмотренном </w:t>
      </w: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пп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. 4.4.3 - 4.4.5. настоящего Регламента.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4.4.8.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 xml:space="preserve">Инженер </w:t>
      </w:r>
      <w:r w:rsidR="007F178D"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ведет электронную базу данных выданных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Актов о готовности</w:t>
      </w:r>
      <w:r w:rsidR="007F178D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внутриплощадочных и внутридомовых сетей к подключению.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4" w:name="page33"/>
      <w:bookmarkEnd w:id="14"/>
      <w:r w:rsidRPr="00732DE4">
        <w:rPr>
          <w:rFonts w:asciiTheme="majorHAnsi" w:hAnsiTheme="majorHAnsi" w:cs="Times New Roman"/>
          <w:sz w:val="24"/>
          <w:szCs w:val="24"/>
          <w:lang w:val="ru-RU"/>
        </w:rPr>
        <w:t>4.4.9. В случае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,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если в процессе строительства (реконструкции) объекта превышен срок действия условий подключения, данный срок продлевается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письменного обращения заказчика.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5. ПРИСОЕДИНЕНИЕ ОБЪЕКТА ЗАКАЗЧИКА К СЕТЯМ </w:t>
      </w:r>
      <w:r w:rsidR="007F178D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ПРЕДПРИТИЯ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, ПРОМЫВКА (ДЕЗИНФЕКЦИЯ)</w:t>
      </w:r>
    </w:p>
    <w:p w:rsidR="000456DE" w:rsidRPr="00732DE4" w:rsidRDefault="00311C78" w:rsidP="00732DE4">
      <w:pPr>
        <w:widowControl w:val="0"/>
        <w:numPr>
          <w:ilvl w:val="2"/>
          <w:numId w:val="35"/>
        </w:numPr>
        <w:tabs>
          <w:tab w:val="clear" w:pos="2160"/>
          <w:tab w:val="left" w:pos="851"/>
          <w:tab w:val="num" w:pos="128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Подключение (технологическое присоединение) абонентов к централизованной системе холодного водоснабжения без оборудования узла учета приборами учета воды не допускается. </w:t>
      </w:r>
    </w:p>
    <w:p w:rsidR="000456DE" w:rsidRPr="00732DE4" w:rsidRDefault="00311C78" w:rsidP="00732DE4">
      <w:pPr>
        <w:widowControl w:val="0"/>
        <w:numPr>
          <w:ilvl w:val="1"/>
          <w:numId w:val="36"/>
        </w:numPr>
        <w:tabs>
          <w:tab w:val="clear" w:pos="1440"/>
          <w:tab w:val="left" w:pos="851"/>
          <w:tab w:val="num" w:pos="124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Заказчик направляет в адрес предприятия заявку на присоединение (врезку) (Приложение 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10)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left" w:pos="851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Работы по присоединению проводятся только специалистами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на основании отдельного договора. При этом связанные с проведением данных работ расходы не включаются в состав платы за подключение, а определяются дополнительно на основании сметных расчетов (калькуляций). 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После предварительной оплаты по договору и согласования времени осуществления работ заказчиком специалисты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осуществляют присоединение (врезку) внутриплощадочных и (или) внутридомовых сетей объекта к сетям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Объект считается подключенным к централизованной системе холодного водоснабжения и (или) водоотведения с даты подписания сторонами акта о подключении (технологическом присоединении) объекта по форме согласно приложению </w:t>
      </w:r>
      <w:r w:rsidRPr="00732DE4">
        <w:rPr>
          <w:rFonts w:asciiTheme="majorHAnsi" w:hAnsiTheme="majorHAnsi" w:cs="Times New Roman"/>
          <w:sz w:val="24"/>
          <w:szCs w:val="24"/>
        </w:rPr>
        <w:t>N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5 к договору о подключении,, подтверждающего выполнение сторонами технических условий и иных обязательств по настоящему договору, и подписания акта о 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разграничении балансовой принадлежности водопроводных сетей по форме согласно приложению </w:t>
      </w:r>
      <w:r w:rsidRPr="00732DE4">
        <w:rPr>
          <w:rFonts w:asciiTheme="majorHAnsi" w:hAnsiTheme="majorHAnsi" w:cs="Times New Roman"/>
          <w:sz w:val="24"/>
          <w:szCs w:val="24"/>
        </w:rPr>
        <w:t>N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6 к договору о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подключении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. 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Акт о подключении (технологическом присоединении) объекта и акт о разграничении балансовой принадлежности подписываются сторонами в течение 5 рабочих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фактического подключения (технологического присоединения) объекта к централизованной с</w:t>
      </w:r>
      <w:r w:rsidR="005466A2" w:rsidRPr="00732DE4">
        <w:rPr>
          <w:rFonts w:asciiTheme="majorHAnsi" w:hAnsiTheme="majorHAnsi" w:cs="Times New Roman"/>
          <w:sz w:val="24"/>
          <w:szCs w:val="24"/>
          <w:lang w:val="ru-RU"/>
        </w:rPr>
        <w:t>истеме холодного водоснабжения.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Подписанные сторонами акты прикрепляются к соответствующему договору и хранятся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ИТО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течение 10 рабочих дней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с даты подписания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 по о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тдельному возмездному договору.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осуществляет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контроль за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выполнением указанных работ. 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После промывки и дезинфекции сторонами составляется и подписывается акт о промывке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ы, израсходованной на промывку.</w:t>
      </w:r>
    </w:p>
    <w:p w:rsidR="000456DE" w:rsidRPr="00732DE4" w:rsidRDefault="00311C78" w:rsidP="00732DE4">
      <w:pPr>
        <w:widowControl w:val="0"/>
        <w:numPr>
          <w:ilvl w:val="2"/>
          <w:numId w:val="36"/>
        </w:numPr>
        <w:tabs>
          <w:tab w:val="clear" w:pos="2160"/>
          <w:tab w:val="num" w:pos="324"/>
          <w:tab w:val="left" w:pos="851"/>
          <w:tab w:val="num" w:pos="1240"/>
          <w:tab w:val="num" w:pos="1272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Акты о промывке и дези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нфекции хранятся в </w:t>
      </w:r>
      <w:r w:rsidR="00021306" w:rsidRPr="00732DE4">
        <w:rPr>
          <w:rFonts w:asciiTheme="majorHAnsi" w:hAnsiTheme="majorHAnsi" w:cs="Times New Roman"/>
          <w:i/>
          <w:sz w:val="24"/>
          <w:szCs w:val="24"/>
          <w:lang w:val="ru-RU"/>
        </w:rPr>
        <w:t>ИТО</w:t>
      </w:r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0456DE" w:rsidRPr="00732DE4" w:rsidRDefault="000456DE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5" w:name="page35"/>
      <w:bookmarkEnd w:id="15"/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6.</w:t>
      </w:r>
      <w:r w:rsidR="00AE19A5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ЗАКЛЮЧЕНИЕ ДОГОВОРА ХОЛОДНОГО ВОДОСНАБЖЕНИЯ, ДОГОВОРА ВОДООТВЕДЕНИЯ, ИЛИ ЕДИНОГО ДОГОВОРА ХОЛОДНОГО ВОДОСНАБЖЕНИЯ И ВОДООТВЕДЕНИЯ</w:t>
      </w:r>
    </w:p>
    <w:p w:rsidR="000456DE" w:rsidRPr="00732DE4" w:rsidRDefault="00311C78" w:rsidP="00732DE4">
      <w:pPr>
        <w:pStyle w:val="a5"/>
        <w:widowControl w:val="0"/>
        <w:numPr>
          <w:ilvl w:val="1"/>
          <w:numId w:val="48"/>
        </w:numPr>
        <w:tabs>
          <w:tab w:val="left" w:pos="113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 (далее – Договор).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При отсутствии указанного Договора пользование системами коммунального водоснабжения и (или) водоотведения считается бездоговорным.</w:t>
      </w:r>
    </w:p>
    <w:p w:rsidR="000456DE" w:rsidRPr="00732DE4" w:rsidRDefault="00311C78" w:rsidP="00732DE4">
      <w:pPr>
        <w:widowControl w:val="0"/>
        <w:numPr>
          <w:ilvl w:val="1"/>
          <w:numId w:val="40"/>
        </w:numPr>
        <w:tabs>
          <w:tab w:val="clear" w:pos="1440"/>
          <w:tab w:val="left" w:pos="851"/>
          <w:tab w:val="num" w:pos="108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Для заключения Договора Заказчик обращается с заявкой на имя директора. </w:t>
      </w:r>
    </w:p>
    <w:p w:rsidR="000456DE" w:rsidRPr="00732DE4" w:rsidRDefault="00311C78" w:rsidP="00732DE4">
      <w:pPr>
        <w:widowControl w:val="0"/>
        <w:numPr>
          <w:ilvl w:val="1"/>
          <w:numId w:val="40"/>
        </w:numPr>
        <w:tabs>
          <w:tab w:val="clear" w:pos="1440"/>
          <w:tab w:val="left" w:pos="851"/>
          <w:tab w:val="num" w:pos="108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заявке должна содержаться следующая информация: </w:t>
      </w:r>
    </w:p>
    <w:p w:rsidR="009F3F72" w:rsidRPr="00732DE4" w:rsidRDefault="009F3F72" w:rsidP="00732DE4">
      <w:pPr>
        <w:widowControl w:val="0"/>
        <w:numPr>
          <w:ilvl w:val="0"/>
          <w:numId w:val="4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Для Заказчиков — собственнико</w:t>
      </w:r>
      <w:proofErr w:type="gramStart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в(</w:t>
      </w:r>
      <w:proofErr w:type="gramEnd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пользователей) помещений в МКД и/или жилых домов </w:t>
      </w:r>
      <w:r w:rsidRPr="00732DE4">
        <w:rPr>
          <w:rFonts w:asciiTheme="majorHAnsi" w:hAnsiTheme="majorHAnsi" w:cs="Times New Roman"/>
          <w:b/>
          <w:bCs/>
          <w:sz w:val="24"/>
          <w:szCs w:val="24"/>
          <w:u w:val="single"/>
          <w:lang w:val="ru-RU"/>
        </w:rPr>
        <w:t xml:space="preserve">(домовладений): </w:t>
      </w:r>
    </w:p>
    <w:p w:rsidR="009F3F72" w:rsidRPr="00732DE4" w:rsidRDefault="009F3F72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а) для физического лица - фамилия, имя, отчество, дата рождения, реквизиты документа, удостоверяющего личность, контактный телефон;</w:t>
      </w:r>
      <w:proofErr w:type="gramEnd"/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б) адрес помещения в многоквартирном доме, жилого дома (домовладения), по которому предоставляются коммунальные услуги с указанием размера (объема, площади) отапливаемых помещений, количества лиц, постоянно проживающих в жилом помещении, или вида деятельности, осуществляемой в нежилом помещении;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в) наименование предоставляемой потребителю коммунальной услуги (коммунальных услуг);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 требования к качеству предоставляемой коммунальной услуги (коммунальных услуг);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порядок определения объема (количества) потребленного коммунального ресурса исходя из нормативов потребления коммунальных услуг, показаний приборов учета или иным указанным в настоящих Правилах способом;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е)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ж) меры социальной поддержки по оплате коммунальных услуг, предоставленные потребителю коммунальных услуг в соответствии с </w:t>
      </w:r>
      <w:r w:rsidRPr="00AC4A9B">
        <w:rPr>
          <w:rFonts w:asciiTheme="majorHAnsi" w:hAnsiTheme="majorHAnsi" w:cs="Times New Roman"/>
          <w:sz w:val="24"/>
          <w:szCs w:val="24"/>
          <w:lang w:val="ru-RU"/>
        </w:rPr>
        <w:t>законодательством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Российской Федерации (в случае предоставления таких мер);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з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6" w:name="page37"/>
      <w:bookmarkEnd w:id="16"/>
      <w:r w:rsidRPr="00732DE4">
        <w:rPr>
          <w:rFonts w:asciiTheme="majorHAnsi" w:hAnsiTheme="majorHAnsi" w:cs="Times New Roman"/>
          <w:sz w:val="24"/>
          <w:szCs w:val="24"/>
          <w:lang w:val="ru-RU"/>
        </w:rPr>
        <w:t>и) виды и количество сельскохозяйственных животных и птиц (при наличии);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к) площадь земельного участка, не занятого жилым домом и надворными постройками;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л) режим водопотребления на полив земельного участка;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м) мощность применяемых устройств, с помощью которых осуществляется потребление коммунальных ресурсов;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732DE4">
        <w:rPr>
          <w:rFonts w:asciiTheme="majorHAnsi" w:hAnsiTheme="majorHAnsi" w:cs="Times New Roman"/>
          <w:sz w:val="24"/>
          <w:szCs w:val="24"/>
        </w:rPr>
        <w:t xml:space="preserve">н) </w:t>
      </w:r>
      <w:proofErr w:type="gramStart"/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>срок</w:t>
      </w:r>
      <w:proofErr w:type="gramEnd"/>
      <w:r w:rsidR="009F3F72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действия договора</w:t>
      </w:r>
      <w:r w:rsidRPr="00732DE4">
        <w:rPr>
          <w:rFonts w:asciiTheme="majorHAnsi" w:hAnsiTheme="majorHAnsi" w:cs="Times New Roman"/>
          <w:sz w:val="24"/>
          <w:szCs w:val="24"/>
        </w:rPr>
        <w:t>.</w:t>
      </w:r>
    </w:p>
    <w:p w:rsidR="000456DE" w:rsidRPr="00732DE4" w:rsidRDefault="00311C78" w:rsidP="00732DE4">
      <w:pPr>
        <w:widowControl w:val="0"/>
        <w:numPr>
          <w:ilvl w:val="0"/>
          <w:numId w:val="4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Для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прочих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Заказчиков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:rsidR="000456DE" w:rsidRPr="00732DE4" w:rsidRDefault="007A23D6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A23D6">
        <w:rPr>
          <w:rFonts w:asciiTheme="majorHAnsi" w:hAnsiTheme="majorHAnsi" w:cs="Times New Roman"/>
          <w:noProof/>
          <w:sz w:val="24"/>
          <w:szCs w:val="24"/>
        </w:rPr>
        <w:pict>
          <v:line id="_x0000_s1031" style="position:absolute;left:0;text-align:left;z-index:-251658752" from="41.85pt,-.55pt" to="164.6pt,-.55pt" o:allowincell="f" strokeweight="1.08pt"/>
        </w:pic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а) реквизиты заказчика (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для юридических лиц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для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индивидуальных предпринимателей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-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>основной государственный регистрационный номер записи в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Едином государственном реестре индивидуальных предпринимателей и дата ее 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внесения в реестр, адрес регистрации по месту жительства, почтовый адрес, индивидуальный номер налогоплательщика, банковские реквизиты; </w:t>
      </w:r>
      <w:r w:rsidR="00311C78"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для физических лиц</w:t>
      </w:r>
      <w:r w:rsidR="00311C78"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б) наименование и местонахождение объектов абонентов, в отношении которых будет заключен Договор,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6.4. К заявке заказчика прилагаются следующие документы:</w:t>
      </w:r>
    </w:p>
    <w:p w:rsidR="000456DE" w:rsidRPr="00732DE4" w:rsidRDefault="00311C78" w:rsidP="00732DE4">
      <w:pPr>
        <w:widowControl w:val="0"/>
        <w:numPr>
          <w:ilvl w:val="0"/>
          <w:numId w:val="4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bookmarkStart w:id="17" w:name="page39"/>
      <w:bookmarkEnd w:id="17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Для Заказчиков — собственнико</w:t>
      </w:r>
      <w:proofErr w:type="gramStart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>в(</w:t>
      </w:r>
      <w:proofErr w:type="gramEnd"/>
      <w:r w:rsidRPr="00732DE4">
        <w:rPr>
          <w:rFonts w:asciiTheme="majorHAnsi" w:hAnsiTheme="majorHAnsi" w:cs="Times New Roman"/>
          <w:b/>
          <w:bCs/>
          <w:sz w:val="24"/>
          <w:szCs w:val="24"/>
          <w:lang w:val="ru-RU"/>
        </w:rPr>
        <w:t xml:space="preserve">пользователей) помещений в МКД и/или жилых домов </w:t>
      </w:r>
      <w:r w:rsidRPr="00732DE4">
        <w:rPr>
          <w:rFonts w:asciiTheme="majorHAnsi" w:hAnsiTheme="majorHAnsi" w:cs="Times New Roman"/>
          <w:b/>
          <w:bCs/>
          <w:sz w:val="24"/>
          <w:szCs w:val="24"/>
          <w:u w:val="single"/>
          <w:lang w:val="ru-RU"/>
        </w:rPr>
        <w:t xml:space="preserve">(домовладений):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а) документ, подтверждающий право собственности (пользования) на помещение в многоквартирном доме (жилой дом); 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б)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в) документы, подтверждающие информацию, указанную в подпунктах «е», «</w:t>
      </w: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з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», «и», «к», «л», «м» пункта 6.3 для собственнико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в(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>пользователей) помещений в МКД и/или жилых домов (домовладений).</w:t>
      </w:r>
    </w:p>
    <w:p w:rsidR="000456DE" w:rsidRPr="00732DE4" w:rsidRDefault="00311C78" w:rsidP="00732DE4">
      <w:pPr>
        <w:widowControl w:val="0"/>
        <w:numPr>
          <w:ilvl w:val="0"/>
          <w:numId w:val="43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Для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прочих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732DE4">
        <w:rPr>
          <w:rFonts w:asciiTheme="majorHAnsi" w:hAnsiTheme="majorHAnsi" w:cs="Times New Roman"/>
          <w:b/>
          <w:bCs/>
          <w:sz w:val="24"/>
          <w:szCs w:val="24"/>
        </w:rPr>
        <w:t>заказчиков</w:t>
      </w:r>
      <w:proofErr w:type="spellEnd"/>
      <w:r w:rsidRPr="00732DE4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также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9D5CCC" w:rsidRPr="00732DE4" w:rsidRDefault="009D5CCC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в) документы,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м,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договор подключения,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условия подключения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2DE4">
        <w:rPr>
          <w:rFonts w:asciiTheme="majorHAnsi" w:hAnsiTheme="majorHAnsi" w:cs="Times New Roman"/>
          <w:i/>
          <w:iCs/>
          <w:sz w:val="24"/>
          <w:szCs w:val="24"/>
          <w:lang w:val="ru-RU"/>
        </w:rPr>
        <w:t>(технологического присоединения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>));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proofErr w:type="spell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д</w:t>
      </w:r>
      <w:proofErr w:type="spellEnd"/>
      <w:r w:rsidRPr="00732DE4">
        <w:rPr>
          <w:rFonts w:asciiTheme="majorHAnsi" w:hAnsiTheme="majorHAnsi" w:cs="Times New Roman"/>
          <w:sz w:val="24"/>
          <w:szCs w:val="24"/>
          <w:lang w:val="ru-RU"/>
        </w:rPr>
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)</w:t>
      </w:r>
      <w:bookmarkStart w:id="18" w:name="page41"/>
      <w:bookmarkEnd w:id="18"/>
      <w:r w:rsidRPr="00732DE4">
        <w:rPr>
          <w:rFonts w:asciiTheme="majorHAnsi" w:hAnsiTheme="majorHAnsi" w:cs="Times New Roman"/>
          <w:sz w:val="24"/>
          <w:szCs w:val="24"/>
          <w:lang w:val="ru-RU"/>
        </w:rPr>
        <w:t>п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732DE4">
        <w:rPr>
          <w:rFonts w:asciiTheme="majorHAnsi" w:hAnsiTheme="majorHAnsi" w:cs="Times New Roman"/>
          <w:sz w:val="24"/>
          <w:szCs w:val="24"/>
          <w:lang w:val="ru-RU"/>
        </w:rPr>
        <w:t>воды</w:t>
      </w:r>
      <w:proofErr w:type="gramEnd"/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0456DE" w:rsidRPr="00732DE4" w:rsidRDefault="00311C78" w:rsidP="00732DE4">
      <w:pPr>
        <w:widowControl w:val="0"/>
        <w:tabs>
          <w:tab w:val="left" w:pos="851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>е) схема размещения мест для отбора проб воды и (или) сточных вод;</w:t>
      </w:r>
    </w:p>
    <w:p w:rsidR="000456DE" w:rsidRPr="00732DE4" w:rsidRDefault="00311C78" w:rsidP="00732DE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lastRenderedPageBreak/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0456DE" w:rsidRPr="00732DE4" w:rsidRDefault="00311C78" w:rsidP="00732DE4">
      <w:pPr>
        <w:widowControl w:val="0"/>
        <w:numPr>
          <w:ilvl w:val="0"/>
          <w:numId w:val="44"/>
        </w:numPr>
        <w:tabs>
          <w:tab w:val="clear" w:pos="720"/>
          <w:tab w:val="left" w:pos="851"/>
          <w:tab w:val="num" w:pos="104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 случае если заказчик ранее предоставлял в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 такие документы при получении ТУ, заключении договора о подключении и сведения, содержащиеся в этих документах, не изменились, повторное предоставление этих документов не требуется. </w:t>
      </w:r>
    </w:p>
    <w:p w:rsidR="000456DE" w:rsidRPr="00732DE4" w:rsidRDefault="00311C78" w:rsidP="00732DE4">
      <w:pPr>
        <w:widowControl w:val="0"/>
        <w:numPr>
          <w:ilvl w:val="0"/>
          <w:numId w:val="44"/>
        </w:numPr>
        <w:tabs>
          <w:tab w:val="clear" w:pos="720"/>
          <w:tab w:val="left" w:pos="851"/>
          <w:tab w:val="num" w:pos="104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Заключение Договоров осуществляется в соответствии с отдельным Регламентом. </w:t>
      </w:r>
    </w:p>
    <w:p w:rsidR="000456DE" w:rsidRPr="00732DE4" w:rsidRDefault="00311C78" w:rsidP="00732DE4">
      <w:pPr>
        <w:widowControl w:val="0"/>
        <w:numPr>
          <w:ilvl w:val="0"/>
          <w:numId w:val="44"/>
        </w:numPr>
        <w:tabs>
          <w:tab w:val="clear" w:pos="720"/>
          <w:tab w:val="left" w:pos="851"/>
          <w:tab w:val="num" w:pos="1046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Водоснабжение и (или) водоотведение в соответствии с условиями подключения осуществляется </w:t>
      </w:r>
      <w:r w:rsidR="00163F7B" w:rsidRPr="00732DE4">
        <w:rPr>
          <w:rFonts w:asciiTheme="majorHAnsi" w:hAnsiTheme="majorHAnsi" w:cs="Times New Roman"/>
          <w:sz w:val="24"/>
          <w:szCs w:val="24"/>
          <w:lang w:val="ru-RU"/>
        </w:rPr>
        <w:t>Предприятие</w:t>
      </w:r>
      <w:r w:rsidRPr="00732DE4">
        <w:rPr>
          <w:rFonts w:asciiTheme="majorHAnsi" w:hAnsiTheme="majorHAnsi" w:cs="Times New Roman"/>
          <w:sz w:val="24"/>
          <w:szCs w:val="24"/>
          <w:lang w:val="ru-RU"/>
        </w:rPr>
        <w:t xml:space="preserve">м при условии заключения Договора. </w:t>
      </w:r>
    </w:p>
    <w:sectPr w:rsidR="000456DE" w:rsidRPr="00732DE4" w:rsidSect="000456DE">
      <w:pgSz w:w="11906" w:h="16838"/>
      <w:pgMar w:top="687" w:right="940" w:bottom="1440" w:left="116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C5"/>
    <w:multiLevelType w:val="hybridMultilevel"/>
    <w:tmpl w:val="00006899"/>
    <w:lvl w:ilvl="0" w:tplc="00003CD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3E9">
      <w:start w:val="13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4080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916"/>
    <w:multiLevelType w:val="hybridMultilevel"/>
    <w:tmpl w:val="00006172"/>
    <w:lvl w:ilvl="0" w:tplc="00006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2E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C4">
      <w:start w:val="34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00004230">
      <w:start w:val="2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2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99"/>
    <w:multiLevelType w:val="hybridMultilevel"/>
    <w:tmpl w:val="00000902"/>
    <w:lvl w:ilvl="0" w:tplc="00007BB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A9E"/>
    <w:multiLevelType w:val="hybridMultilevel"/>
    <w:tmpl w:val="0000797D"/>
    <w:lvl w:ilvl="0" w:tplc="00005F49">
      <w:start w:val="14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CD6"/>
    <w:multiLevelType w:val="hybridMultilevel"/>
    <w:tmpl w:val="00000FBF"/>
    <w:lvl w:ilvl="0" w:tplc="00002F1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5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01D"/>
    <w:multiLevelType w:val="hybridMultilevel"/>
    <w:tmpl w:val="000071F0"/>
    <w:lvl w:ilvl="0" w:tplc="0000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2D"/>
    <w:multiLevelType w:val="hybridMultilevel"/>
    <w:tmpl w:val="000054DC"/>
    <w:lvl w:ilvl="0" w:tplc="0000368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D66">
      <w:start w:val="2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00007983">
      <w:start w:val="3"/>
      <w:numFmt w:val="decimal"/>
      <w:lvlText w:val="5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8B"/>
    <w:multiLevelType w:val="hybridMultilevel"/>
    <w:tmpl w:val="000026A6"/>
    <w:lvl w:ilvl="0" w:tplc="000070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509"/>
    <w:multiLevelType w:val="hybridMultilevel"/>
    <w:tmpl w:val="00001238"/>
    <w:lvl w:ilvl="0" w:tplc="00003B2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8CC"/>
    <w:multiLevelType w:val="hybridMultilevel"/>
    <w:tmpl w:val="00005753"/>
    <w:lvl w:ilvl="0" w:tplc="000060B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DC8"/>
    <w:multiLevelType w:val="hybridMultilevel"/>
    <w:tmpl w:val="00006443"/>
    <w:lvl w:ilvl="0" w:tplc="000066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039"/>
    <w:multiLevelType w:val="hybridMultilevel"/>
    <w:tmpl w:val="0000542C"/>
    <w:lvl w:ilvl="0" w:tplc="00001953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6AE"/>
    <w:multiLevelType w:val="hybridMultilevel"/>
    <w:tmpl w:val="00000732"/>
    <w:lvl w:ilvl="0" w:tplc="00000120">
      <w:start w:val="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772"/>
    <w:multiLevelType w:val="hybridMultilevel"/>
    <w:tmpl w:val="0000139D"/>
    <w:lvl w:ilvl="0" w:tplc="00007049">
      <w:start w:val="10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10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DB2"/>
    <w:multiLevelType w:val="hybridMultilevel"/>
    <w:tmpl w:val="000033EA"/>
    <w:lvl w:ilvl="0" w:tplc="000023C9">
      <w:start w:val="5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E14"/>
    <w:multiLevelType w:val="hybridMultilevel"/>
    <w:tmpl w:val="00004DF2"/>
    <w:lvl w:ilvl="0" w:tplc="00004944">
      <w:start w:val="20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92C"/>
    <w:multiLevelType w:val="hybridMultilevel"/>
    <w:tmpl w:val="00004A80"/>
    <w:lvl w:ilvl="0" w:tplc="0000187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FC"/>
    <w:multiLevelType w:val="hybridMultilevel"/>
    <w:tmpl w:val="00007F96"/>
    <w:lvl w:ilvl="0" w:tplc="00007FF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C69"/>
    <w:multiLevelType w:val="hybridMultilevel"/>
    <w:tmpl w:val="0000288F"/>
    <w:lvl w:ilvl="0" w:tplc="00003A6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CD">
      <w:start w:val="8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3DA"/>
    <w:multiLevelType w:val="hybridMultilevel"/>
    <w:tmpl w:val="000058B0"/>
    <w:lvl w:ilvl="0" w:tplc="000026CA">
      <w:start w:val="6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59A"/>
    <w:multiLevelType w:val="hybridMultilevel"/>
    <w:tmpl w:val="00002350"/>
    <w:lvl w:ilvl="0" w:tplc="000022E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B40">
      <w:start w:val="9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5EF"/>
    <w:multiLevelType w:val="hybridMultilevel"/>
    <w:tmpl w:val="00004657"/>
    <w:lvl w:ilvl="0" w:tplc="00002C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FFF">
      <w:start w:val="4"/>
      <w:numFmt w:val="decimal"/>
      <w:lvlText w:val="5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DD1"/>
    <w:multiLevelType w:val="hybridMultilevel"/>
    <w:tmpl w:val="0000261E"/>
    <w:lvl w:ilvl="0" w:tplc="00005E9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89C">
      <w:start w:val="10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EF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F4F"/>
    <w:multiLevelType w:val="hybridMultilevel"/>
    <w:tmpl w:val="0000494A"/>
    <w:lvl w:ilvl="0" w:tplc="000006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278C594F"/>
    <w:multiLevelType w:val="multilevel"/>
    <w:tmpl w:val="C9066E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45">
    <w:nsid w:val="2D320F46"/>
    <w:multiLevelType w:val="multilevel"/>
    <w:tmpl w:val="39387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32B45399"/>
    <w:multiLevelType w:val="multilevel"/>
    <w:tmpl w:val="DDDA78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6486AEC"/>
    <w:multiLevelType w:val="hybridMultilevel"/>
    <w:tmpl w:val="5768B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12"/>
  </w:num>
  <w:num w:numId="8">
    <w:abstractNumId w:val="26"/>
  </w:num>
  <w:num w:numId="9">
    <w:abstractNumId w:val="16"/>
  </w:num>
  <w:num w:numId="10">
    <w:abstractNumId w:val="27"/>
  </w:num>
  <w:num w:numId="11">
    <w:abstractNumId w:val="22"/>
  </w:num>
  <w:num w:numId="12">
    <w:abstractNumId w:val="32"/>
  </w:num>
  <w:num w:numId="13">
    <w:abstractNumId w:val="24"/>
  </w:num>
  <w:num w:numId="14">
    <w:abstractNumId w:val="10"/>
  </w:num>
  <w:num w:numId="15">
    <w:abstractNumId w:val="36"/>
  </w:num>
  <w:num w:numId="16">
    <w:abstractNumId w:val="13"/>
  </w:num>
  <w:num w:numId="17">
    <w:abstractNumId w:val="2"/>
  </w:num>
  <w:num w:numId="18">
    <w:abstractNumId w:val="29"/>
  </w:num>
  <w:num w:numId="19">
    <w:abstractNumId w:val="39"/>
  </w:num>
  <w:num w:numId="20">
    <w:abstractNumId w:val="31"/>
  </w:num>
  <w:num w:numId="21">
    <w:abstractNumId w:val="9"/>
  </w:num>
  <w:num w:numId="22">
    <w:abstractNumId w:val="17"/>
  </w:num>
  <w:num w:numId="23">
    <w:abstractNumId w:val="4"/>
  </w:num>
  <w:num w:numId="24">
    <w:abstractNumId w:val="34"/>
  </w:num>
  <w:num w:numId="25">
    <w:abstractNumId w:val="11"/>
  </w:num>
  <w:num w:numId="26">
    <w:abstractNumId w:val="42"/>
  </w:num>
  <w:num w:numId="27">
    <w:abstractNumId w:val="3"/>
  </w:num>
  <w:num w:numId="28">
    <w:abstractNumId w:val="38"/>
  </w:num>
  <w:num w:numId="29">
    <w:abstractNumId w:val="14"/>
  </w:num>
  <w:num w:numId="30">
    <w:abstractNumId w:val="30"/>
  </w:num>
  <w:num w:numId="31">
    <w:abstractNumId w:val="35"/>
  </w:num>
  <w:num w:numId="32">
    <w:abstractNumId w:val="7"/>
  </w:num>
  <w:num w:numId="33">
    <w:abstractNumId w:val="33"/>
  </w:num>
  <w:num w:numId="34">
    <w:abstractNumId w:val="25"/>
  </w:num>
  <w:num w:numId="35">
    <w:abstractNumId w:val="18"/>
  </w:num>
  <w:num w:numId="36">
    <w:abstractNumId w:val="21"/>
  </w:num>
  <w:num w:numId="37">
    <w:abstractNumId w:val="40"/>
  </w:num>
  <w:num w:numId="38">
    <w:abstractNumId w:val="37"/>
  </w:num>
  <w:num w:numId="39">
    <w:abstractNumId w:val="41"/>
  </w:num>
  <w:num w:numId="40">
    <w:abstractNumId w:val="8"/>
  </w:num>
  <w:num w:numId="41">
    <w:abstractNumId w:val="20"/>
  </w:num>
  <w:num w:numId="42">
    <w:abstractNumId w:val="43"/>
  </w:num>
  <w:num w:numId="43">
    <w:abstractNumId w:val="23"/>
  </w:num>
  <w:num w:numId="44">
    <w:abstractNumId w:val="28"/>
  </w:num>
  <w:num w:numId="45">
    <w:abstractNumId w:val="46"/>
  </w:num>
  <w:num w:numId="46">
    <w:abstractNumId w:val="47"/>
  </w:num>
  <w:num w:numId="47">
    <w:abstractNumId w:val="4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11C78"/>
    <w:rsid w:val="00001E8A"/>
    <w:rsid w:val="00021306"/>
    <w:rsid w:val="000456DE"/>
    <w:rsid w:val="00054415"/>
    <w:rsid w:val="000546A4"/>
    <w:rsid w:val="000D5769"/>
    <w:rsid w:val="001341F5"/>
    <w:rsid w:val="00163F7B"/>
    <w:rsid w:val="00194333"/>
    <w:rsid w:val="001E6090"/>
    <w:rsid w:val="002027D4"/>
    <w:rsid w:val="00241BEF"/>
    <w:rsid w:val="00245E7B"/>
    <w:rsid w:val="00251282"/>
    <w:rsid w:val="0026638C"/>
    <w:rsid w:val="002A33EA"/>
    <w:rsid w:val="00311C78"/>
    <w:rsid w:val="0032199A"/>
    <w:rsid w:val="00362D44"/>
    <w:rsid w:val="00373FE2"/>
    <w:rsid w:val="00376A9A"/>
    <w:rsid w:val="003A544C"/>
    <w:rsid w:val="0042509B"/>
    <w:rsid w:val="00465E33"/>
    <w:rsid w:val="004764BA"/>
    <w:rsid w:val="004E2927"/>
    <w:rsid w:val="005466A2"/>
    <w:rsid w:val="005D56BE"/>
    <w:rsid w:val="0063389A"/>
    <w:rsid w:val="006343C8"/>
    <w:rsid w:val="006435FB"/>
    <w:rsid w:val="00665623"/>
    <w:rsid w:val="00732DE4"/>
    <w:rsid w:val="007537B9"/>
    <w:rsid w:val="00790742"/>
    <w:rsid w:val="007A23D6"/>
    <w:rsid w:val="007E2C65"/>
    <w:rsid w:val="007F178D"/>
    <w:rsid w:val="00851942"/>
    <w:rsid w:val="00882752"/>
    <w:rsid w:val="008C786A"/>
    <w:rsid w:val="008D4B61"/>
    <w:rsid w:val="009A13F8"/>
    <w:rsid w:val="009D5CCC"/>
    <w:rsid w:val="009F3459"/>
    <w:rsid w:val="009F3F72"/>
    <w:rsid w:val="009F5DFE"/>
    <w:rsid w:val="00A05F86"/>
    <w:rsid w:val="00AA44E3"/>
    <w:rsid w:val="00AC4A9B"/>
    <w:rsid w:val="00AE19A5"/>
    <w:rsid w:val="00B76BC6"/>
    <w:rsid w:val="00B86A37"/>
    <w:rsid w:val="00BA2C8D"/>
    <w:rsid w:val="00BB7634"/>
    <w:rsid w:val="00BC2E91"/>
    <w:rsid w:val="00BD7C76"/>
    <w:rsid w:val="00C17C40"/>
    <w:rsid w:val="00C23DDE"/>
    <w:rsid w:val="00C31E86"/>
    <w:rsid w:val="00C951A9"/>
    <w:rsid w:val="00D26B3D"/>
    <w:rsid w:val="00D65058"/>
    <w:rsid w:val="00D97DE5"/>
    <w:rsid w:val="00E10131"/>
    <w:rsid w:val="00E36C4F"/>
    <w:rsid w:val="00EC3856"/>
    <w:rsid w:val="00F20D03"/>
    <w:rsid w:val="00F24519"/>
    <w:rsid w:val="00F53247"/>
    <w:rsid w:val="00F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9A13F8"/>
    <w:pPr>
      <w:ind w:left="720"/>
      <w:contextualSpacing/>
    </w:pPr>
  </w:style>
  <w:style w:type="table" w:styleId="a6">
    <w:name w:val="Table Grid"/>
    <w:basedOn w:val="a1"/>
    <w:uiPriority w:val="59"/>
    <w:rsid w:val="0085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8279</Words>
  <Characters>47193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2016-04-06T05:55:00Z</dcterms:created>
  <dcterms:modified xsi:type="dcterms:W3CDTF">2018-03-26T06:08:00Z</dcterms:modified>
</cp:coreProperties>
</file>